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A7EFC" w14:paraId="456EA2D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35DD76A" w14:textId="77777777" w:rsidR="00A80767" w:rsidRPr="004A7EFC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4A7EFC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21DBD0D" w14:textId="77777777" w:rsidR="00A80767" w:rsidRPr="004A7EF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A7EFC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683038C" wp14:editId="1B2C128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4A7EF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9EA5066" w14:textId="77777777" w:rsidR="00AF67EB" w:rsidRPr="004A7EFC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4A7EF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4D1B2721" w14:textId="77777777" w:rsidR="00A80767" w:rsidRPr="004A7EFC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A7EF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4A7EF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4A7EF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4A7EFC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4A7EFC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4A7EFC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4A7EFC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25B9012B" w14:textId="01A2C334" w:rsidR="00A80767" w:rsidRPr="004A7EFC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 w:rsidRPr="004A7EF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4A7EF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4A7EF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CB6C4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4.7(2)</w:t>
            </w:r>
          </w:p>
        </w:tc>
      </w:tr>
      <w:tr w:rsidR="00A80767" w:rsidRPr="004A7EFC" w14:paraId="5ABB102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069F23D" w14:textId="77777777" w:rsidR="00A80767" w:rsidRPr="004A7EF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B7EE9B9" w14:textId="77777777" w:rsidR="00A80767" w:rsidRPr="004A7EF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ED936B3" w14:textId="17D4B92D" w:rsidR="00A80767" w:rsidRPr="004A7EFC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14048E"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SC-MMO</w:t>
            </w:r>
          </w:p>
          <w:p w14:paraId="3E14385C" w14:textId="5368EB35" w:rsidR="00A80767" w:rsidRPr="004A7EFC" w:rsidRDefault="0073351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12</w:t>
            </w:r>
            <w:r w:rsidR="00F21B41"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Pr="004A7EFC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8C2F844" w14:textId="77777777" w:rsidR="00A80767" w:rsidRPr="004A7EFC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7EFC"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</w:t>
            </w:r>
            <w:r w:rsidR="00A80767" w:rsidRPr="004A7EFC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5568BFDA" w14:textId="261A92AA" w:rsidR="00856FF8" w:rsidRPr="004A7EFC" w:rsidRDefault="00856FF8" w:rsidP="00D66CC3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4A7EFC">
        <w:rPr>
          <w:b/>
          <w:bCs/>
          <w:lang w:val="fr-FR"/>
        </w:rPr>
        <w:t>POINT </w:t>
      </w:r>
      <w:r w:rsidR="002056AB">
        <w:rPr>
          <w:b/>
          <w:bCs/>
          <w:lang w:val="en-CH"/>
        </w:rPr>
        <w:t>4</w:t>
      </w:r>
      <w:r w:rsidRPr="004A7EFC">
        <w:rPr>
          <w:b/>
          <w:bCs/>
          <w:lang w:val="fr-FR"/>
        </w:rPr>
        <w:t xml:space="preserve"> DE L</w:t>
      </w:r>
      <w:r w:rsidR="001148C8">
        <w:rPr>
          <w:b/>
          <w:bCs/>
          <w:lang w:val="fr-FR"/>
        </w:rPr>
        <w:t>’</w:t>
      </w:r>
      <w:r w:rsidRPr="004A7EFC">
        <w:rPr>
          <w:b/>
          <w:bCs/>
          <w:lang w:val="fr-FR"/>
        </w:rPr>
        <w:t>ORDRE DU JOUR:</w:t>
      </w:r>
      <w:r w:rsidRPr="004A7EFC">
        <w:rPr>
          <w:b/>
          <w:bCs/>
          <w:lang w:val="fr-FR"/>
        </w:rPr>
        <w:tab/>
      </w:r>
      <w:r w:rsidR="00D66CC3" w:rsidRPr="004A7EFC">
        <w:rPr>
          <w:b/>
          <w:bCs/>
          <w:lang w:val="fr-FR"/>
        </w:rPr>
        <w:t>RÈGLEMENT TECHNIQUE ET AUTRES QUESTIONS TECHNIQUES</w:t>
      </w:r>
    </w:p>
    <w:p w14:paraId="2E94F3CD" w14:textId="1B8D7059" w:rsidR="00856FF8" w:rsidRPr="004A7EFC" w:rsidRDefault="00856FF8" w:rsidP="005E000C">
      <w:pPr>
        <w:pStyle w:val="WMOBodyText"/>
        <w:ind w:left="4536" w:hanging="4536"/>
        <w:rPr>
          <w:b/>
          <w:bCs/>
          <w:lang w:val="fr-FR"/>
        </w:rPr>
      </w:pPr>
      <w:r w:rsidRPr="004A7EFC">
        <w:rPr>
          <w:b/>
          <w:bCs/>
          <w:lang w:val="fr-FR"/>
        </w:rPr>
        <w:t>POINT </w:t>
      </w:r>
      <w:r w:rsidR="002056AB">
        <w:rPr>
          <w:b/>
          <w:bCs/>
          <w:lang w:val="en-CH"/>
        </w:rPr>
        <w:t>4</w:t>
      </w:r>
      <w:r w:rsidRPr="004A7EFC">
        <w:rPr>
          <w:b/>
          <w:bCs/>
          <w:lang w:val="fr-FR"/>
        </w:rPr>
        <w:t>.</w:t>
      </w:r>
      <w:r w:rsidR="00733519" w:rsidRPr="004A7EFC">
        <w:rPr>
          <w:b/>
          <w:bCs/>
          <w:lang w:val="fr-FR"/>
        </w:rPr>
        <w:t>7</w:t>
      </w:r>
      <w:r w:rsidRPr="004A7EFC">
        <w:rPr>
          <w:b/>
          <w:bCs/>
          <w:lang w:val="fr-FR"/>
        </w:rPr>
        <w:t xml:space="preserve"> DE L</w:t>
      </w:r>
      <w:r w:rsidR="001148C8">
        <w:rPr>
          <w:b/>
          <w:bCs/>
          <w:lang w:val="fr-FR"/>
        </w:rPr>
        <w:t>’</w:t>
      </w:r>
      <w:r w:rsidRPr="004A7EFC">
        <w:rPr>
          <w:b/>
          <w:bCs/>
          <w:lang w:val="fr-FR"/>
        </w:rPr>
        <w:t>ORDRE DU JOUR:</w:t>
      </w:r>
      <w:r w:rsidRPr="004A7EFC">
        <w:rPr>
          <w:b/>
          <w:bCs/>
          <w:lang w:val="fr-FR"/>
        </w:rPr>
        <w:tab/>
      </w:r>
      <w:r w:rsidR="005E000C" w:rsidRPr="004A7EFC">
        <w:rPr>
          <w:b/>
          <w:bCs/>
          <w:lang w:val="fr-FR"/>
        </w:rPr>
        <w:t>Services de météorologie maritime et d</w:t>
      </w:r>
      <w:r w:rsidR="001148C8">
        <w:rPr>
          <w:b/>
          <w:bCs/>
          <w:lang w:val="fr-FR"/>
        </w:rPr>
        <w:t>’</w:t>
      </w:r>
      <w:r w:rsidR="005E000C" w:rsidRPr="004A7EFC">
        <w:rPr>
          <w:b/>
          <w:bCs/>
          <w:lang w:val="fr-FR"/>
        </w:rPr>
        <w:t>océanographie</w:t>
      </w:r>
    </w:p>
    <w:p w14:paraId="2359BEA4" w14:textId="65167314" w:rsidR="00A80767" w:rsidRPr="004A7EFC" w:rsidRDefault="00522CEB" w:rsidP="00A80767">
      <w:pPr>
        <w:pStyle w:val="Heading1"/>
        <w:rPr>
          <w:lang w:val="fr-FR"/>
        </w:rPr>
      </w:pPr>
      <w:r w:rsidRPr="004A7EFC">
        <w:rPr>
          <w:lang w:val="fr-FR"/>
        </w:rPr>
        <w:t>Prévisions et alertes relatives aux aléas côtiers causés par des vagues longues d</w:t>
      </w:r>
      <w:r w:rsidR="001148C8">
        <w:rPr>
          <w:lang w:val="fr-FR"/>
        </w:rPr>
        <w:t>’</w:t>
      </w:r>
      <w:r w:rsidRPr="004A7EFC">
        <w:rPr>
          <w:lang w:val="fr-FR"/>
        </w:rPr>
        <w:t>origine météorologique, également connues sous le nom de «météo-tsunamis»</w:t>
      </w:r>
    </w:p>
    <w:p w14:paraId="44F351C6" w14:textId="77777777" w:rsidR="00025AEB" w:rsidRPr="004A7EFC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4A7EFC" w14:paraId="3D7269A6" w14:textId="77777777" w:rsidTr="00250A6B">
        <w:trPr>
          <w:jc w:val="center"/>
        </w:trPr>
        <w:tc>
          <w:tcPr>
            <w:tcW w:w="9634" w:type="dxa"/>
          </w:tcPr>
          <w:p w14:paraId="7F8571F9" w14:textId="43DC4F38" w:rsidR="00025AEB" w:rsidRPr="004A7EFC" w:rsidRDefault="00025AEB" w:rsidP="005E000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4A7EFC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CB6C40" w14:paraId="1DDE904A" w14:textId="77777777" w:rsidTr="00250A6B">
        <w:trPr>
          <w:jc w:val="center"/>
        </w:trPr>
        <w:tc>
          <w:tcPr>
            <w:tcW w:w="9634" w:type="dxa"/>
          </w:tcPr>
          <w:p w14:paraId="694BD972" w14:textId="0CB78DA2" w:rsidR="00025AEB" w:rsidRPr="004A7EFC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A7EFC">
              <w:rPr>
                <w:b/>
                <w:bCs/>
                <w:lang w:val="fr-FR"/>
              </w:rPr>
              <w:t>Document présenté par:</w:t>
            </w:r>
            <w:r w:rsidRPr="004A7EFC">
              <w:rPr>
                <w:lang w:val="fr-FR"/>
              </w:rPr>
              <w:t xml:space="preserve"> </w:t>
            </w:r>
            <w:r w:rsidR="006F356C" w:rsidRPr="004A7EFC">
              <w:rPr>
                <w:lang w:val="fr-FR"/>
              </w:rPr>
              <w:t>Président du Comité permanent des services de météorologie marine et d</w:t>
            </w:r>
            <w:r w:rsidR="001148C8">
              <w:rPr>
                <w:lang w:val="fr-FR"/>
              </w:rPr>
              <w:t>’</w:t>
            </w:r>
            <w:r w:rsidR="006F356C" w:rsidRPr="004A7EFC">
              <w:rPr>
                <w:lang w:val="fr-FR"/>
              </w:rPr>
              <w:t>océanographie (SC-MMO)</w:t>
            </w:r>
          </w:p>
          <w:p w14:paraId="1DE1E9F2" w14:textId="41CAA834" w:rsidR="00025AEB" w:rsidRPr="00D80D84" w:rsidRDefault="00025AEB" w:rsidP="009F3D4B">
            <w:pPr>
              <w:pStyle w:val="WMOBodyText"/>
              <w:spacing w:before="160"/>
              <w:jc w:val="left"/>
              <w:rPr>
                <w:spacing w:val="2"/>
                <w:lang w:val="fr-FR"/>
              </w:rPr>
            </w:pPr>
            <w:r w:rsidRPr="00D80D84">
              <w:rPr>
                <w:b/>
                <w:bCs/>
                <w:spacing w:val="2"/>
                <w:lang w:val="fr-FR"/>
              </w:rPr>
              <w:t>Objectif</w:t>
            </w:r>
            <w:r w:rsidR="002E2848" w:rsidRPr="00D80D84">
              <w:rPr>
                <w:b/>
                <w:bCs/>
                <w:spacing w:val="2"/>
                <w:lang w:val="fr-FR"/>
              </w:rPr>
              <w:t>s</w:t>
            </w:r>
            <w:r w:rsidRPr="00D80D84">
              <w:rPr>
                <w:b/>
                <w:bCs/>
                <w:spacing w:val="2"/>
                <w:lang w:val="fr-FR"/>
              </w:rPr>
              <w:t xml:space="preserve"> stratégique</w:t>
            </w:r>
            <w:r w:rsidR="002E2848" w:rsidRPr="00D80D84">
              <w:rPr>
                <w:b/>
                <w:bCs/>
                <w:spacing w:val="2"/>
                <w:lang w:val="fr-FR"/>
              </w:rPr>
              <w:t>s</w:t>
            </w:r>
            <w:r w:rsidRPr="00D80D84">
              <w:rPr>
                <w:b/>
                <w:bCs/>
                <w:spacing w:val="2"/>
                <w:lang w:val="fr-FR"/>
              </w:rPr>
              <w:t xml:space="preserve"> </w:t>
            </w:r>
            <w:r w:rsidR="002066F1" w:rsidRPr="00D80D84">
              <w:rPr>
                <w:b/>
                <w:bCs/>
                <w:spacing w:val="2"/>
                <w:lang w:val="fr-FR"/>
              </w:rPr>
              <w:t>20</w:t>
            </w:r>
            <w:r w:rsidR="00823E63" w:rsidRPr="00D80D84">
              <w:rPr>
                <w:b/>
                <w:bCs/>
                <w:spacing w:val="2"/>
                <w:lang w:val="fr-FR"/>
              </w:rPr>
              <w:t>24-</w:t>
            </w:r>
            <w:r w:rsidR="002066F1" w:rsidRPr="00D80D84">
              <w:rPr>
                <w:b/>
                <w:bCs/>
                <w:spacing w:val="2"/>
                <w:lang w:val="fr-FR"/>
              </w:rPr>
              <w:t>20</w:t>
            </w:r>
            <w:r w:rsidR="00823E63" w:rsidRPr="00D80D84">
              <w:rPr>
                <w:b/>
                <w:bCs/>
                <w:spacing w:val="2"/>
                <w:lang w:val="fr-FR"/>
              </w:rPr>
              <w:t>27</w:t>
            </w:r>
            <w:r w:rsidRPr="00D80D84">
              <w:rPr>
                <w:b/>
                <w:bCs/>
                <w:spacing w:val="2"/>
                <w:lang w:val="fr-FR"/>
              </w:rPr>
              <w:t xml:space="preserve">: </w:t>
            </w:r>
            <w:r w:rsidR="001148C8" w:rsidRPr="00D80D84">
              <w:rPr>
                <w:spacing w:val="2"/>
                <w:lang w:val="fr-FR"/>
              </w:rPr>
              <w:t xml:space="preserve">Objectif </w:t>
            </w:r>
            <w:r w:rsidR="00F5620A" w:rsidRPr="00D80D84">
              <w:rPr>
                <w:spacing w:val="2"/>
                <w:lang w:val="fr-FR"/>
              </w:rPr>
              <w:t xml:space="preserve">1.4 </w:t>
            </w:r>
            <w:r w:rsidR="001148C8" w:rsidRPr="00D80D84">
              <w:rPr>
                <w:spacing w:val="2"/>
                <w:lang w:val="fr-FR"/>
              </w:rPr>
              <w:t xml:space="preserve">– </w:t>
            </w:r>
            <w:r w:rsidR="00A90C48" w:rsidRPr="00D80D84">
              <w:rPr>
                <w:spacing w:val="2"/>
                <w:lang w:val="fr-FR"/>
              </w:rPr>
              <w:t>Accroître la valeur des informations et services météorologiques d</w:t>
            </w:r>
            <w:r w:rsidR="001148C8" w:rsidRPr="00D80D84">
              <w:rPr>
                <w:spacing w:val="2"/>
                <w:lang w:val="fr-FR"/>
              </w:rPr>
              <w:t>’</w:t>
            </w:r>
            <w:r w:rsidR="00A90C48" w:rsidRPr="00D80D84">
              <w:rPr>
                <w:spacing w:val="2"/>
                <w:lang w:val="fr-FR"/>
              </w:rPr>
              <w:t>aide à la décision et innover dans ce domaine</w:t>
            </w:r>
            <w:r w:rsidR="002E2848" w:rsidRPr="00D80D84">
              <w:rPr>
                <w:spacing w:val="2"/>
                <w:lang w:val="fr-FR"/>
              </w:rPr>
              <w:t>,</w:t>
            </w:r>
            <w:r w:rsidR="00D80D84">
              <w:rPr>
                <w:spacing w:val="2"/>
                <w:lang w:val="fr-FR"/>
              </w:rPr>
              <w:br/>
            </w:r>
            <w:r w:rsidR="001148C8" w:rsidRPr="00D80D84">
              <w:rPr>
                <w:spacing w:val="2"/>
                <w:lang w:val="fr-FR"/>
              </w:rPr>
              <w:t xml:space="preserve">Objectif </w:t>
            </w:r>
            <w:r w:rsidR="002E2848" w:rsidRPr="00D80D84">
              <w:rPr>
                <w:spacing w:val="2"/>
                <w:lang w:val="fr-FR"/>
              </w:rPr>
              <w:t>4.1</w:t>
            </w:r>
            <w:r w:rsidR="009F3D4B" w:rsidRPr="00D80D84">
              <w:rPr>
                <w:spacing w:val="2"/>
                <w:lang w:val="fr-FR"/>
              </w:rPr>
              <w:t xml:space="preserve"> </w:t>
            </w:r>
            <w:r w:rsidR="001148C8" w:rsidRPr="00D80D84">
              <w:rPr>
                <w:spacing w:val="2"/>
                <w:lang w:val="fr-FR"/>
              </w:rPr>
              <w:t>– </w:t>
            </w:r>
            <w:r w:rsidR="009F3D4B" w:rsidRPr="00D80D84">
              <w:rPr>
                <w:spacing w:val="2"/>
                <w:lang w:val="fr-FR"/>
              </w:rPr>
              <w:t>Répondre aux besoins des pays en développement afin qu</w:t>
            </w:r>
            <w:r w:rsidR="001148C8" w:rsidRPr="00D80D84">
              <w:rPr>
                <w:spacing w:val="2"/>
                <w:lang w:val="fr-FR"/>
              </w:rPr>
              <w:t>’</w:t>
            </w:r>
            <w:r w:rsidR="009F3D4B" w:rsidRPr="00D80D84">
              <w:rPr>
                <w:spacing w:val="2"/>
                <w:lang w:val="fr-FR"/>
              </w:rPr>
              <w:t>ils puissent fournir et utiliser les services essentiels concernant le temps, le climat, l</w:t>
            </w:r>
            <w:r w:rsidR="001148C8" w:rsidRPr="00D80D84">
              <w:rPr>
                <w:spacing w:val="2"/>
                <w:lang w:val="fr-FR"/>
              </w:rPr>
              <w:t>’</w:t>
            </w:r>
            <w:r w:rsidR="009F3D4B" w:rsidRPr="00D80D84">
              <w:rPr>
                <w:spacing w:val="2"/>
                <w:lang w:val="fr-FR"/>
              </w:rPr>
              <w:t>eau et les domaines environnementaux connexes</w:t>
            </w:r>
          </w:p>
          <w:p w14:paraId="7ED8A23B" w14:textId="410DD110" w:rsidR="00025AEB" w:rsidRPr="004A7EFC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A7EFC">
              <w:rPr>
                <w:b/>
                <w:bCs/>
                <w:lang w:val="fr-FR"/>
              </w:rPr>
              <w:t>Incidences financières et administratives:</w:t>
            </w:r>
            <w:r w:rsidRPr="004A7EFC">
              <w:rPr>
                <w:lang w:val="fr-FR"/>
              </w:rPr>
              <w:t xml:space="preserve"> </w:t>
            </w:r>
            <w:r w:rsidR="004264D0" w:rsidRPr="004A7EFC">
              <w:rPr>
                <w:lang w:val="fr-FR"/>
              </w:rPr>
              <w:t>Coûts associés à la production d</w:t>
            </w:r>
            <w:r w:rsidR="001148C8">
              <w:rPr>
                <w:lang w:val="fr-FR"/>
              </w:rPr>
              <w:t>’</w:t>
            </w:r>
            <w:r w:rsidR="004264D0" w:rsidRPr="004A7EFC">
              <w:rPr>
                <w:lang w:val="fr-FR"/>
              </w:rPr>
              <w:t>une publication de l</w:t>
            </w:r>
            <w:r w:rsidR="001148C8">
              <w:rPr>
                <w:lang w:val="fr-FR"/>
              </w:rPr>
              <w:t>’</w:t>
            </w:r>
            <w:r w:rsidR="004264D0" w:rsidRPr="004A7EFC">
              <w:rPr>
                <w:lang w:val="fr-FR"/>
              </w:rPr>
              <w:t>OMM</w:t>
            </w:r>
          </w:p>
          <w:p w14:paraId="57D4AFE9" w14:textId="1211417A" w:rsidR="00025AEB" w:rsidRPr="004A7EFC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A7EFC">
              <w:rPr>
                <w:b/>
                <w:bCs/>
                <w:lang w:val="fr-FR"/>
              </w:rPr>
              <w:t>Principaux responsables de la mise en œuvre:</w:t>
            </w:r>
            <w:r w:rsidRPr="004A7EFC">
              <w:rPr>
                <w:lang w:val="fr-FR"/>
              </w:rPr>
              <w:t xml:space="preserve"> </w:t>
            </w:r>
            <w:r w:rsidR="0061020A" w:rsidRPr="004A7EFC">
              <w:rPr>
                <w:lang w:val="fr-FR"/>
              </w:rPr>
              <w:t>Experts compétents des organes relevant de la SERCOM</w:t>
            </w:r>
          </w:p>
          <w:p w14:paraId="156D6EDD" w14:textId="1F547D0C" w:rsidR="00025AEB" w:rsidRPr="001148C8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148C8">
              <w:rPr>
                <w:b/>
                <w:bCs/>
                <w:lang w:val="fr-FR"/>
              </w:rPr>
              <w:t>Calendrier:</w:t>
            </w:r>
            <w:r w:rsidRPr="001148C8">
              <w:rPr>
                <w:lang w:val="fr-FR"/>
              </w:rPr>
              <w:t xml:space="preserve"> </w:t>
            </w:r>
            <w:r w:rsidR="0061020A" w:rsidRPr="001148C8">
              <w:rPr>
                <w:lang w:val="fr-FR"/>
              </w:rPr>
              <w:t>2024</w:t>
            </w:r>
            <w:r w:rsidR="00D80D84">
              <w:rPr>
                <w:lang w:val="fr-FR"/>
              </w:rPr>
              <w:t>-</w:t>
            </w:r>
            <w:r w:rsidR="0061020A" w:rsidRPr="001148C8">
              <w:rPr>
                <w:lang w:val="fr-FR"/>
              </w:rPr>
              <w:t>2025</w:t>
            </w:r>
          </w:p>
          <w:p w14:paraId="2242D95F" w14:textId="69E38143" w:rsidR="00025AEB" w:rsidRPr="004A7EFC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4A7EFC">
              <w:rPr>
                <w:b/>
                <w:bCs/>
                <w:lang w:val="fr-FR"/>
              </w:rPr>
              <w:t>Mesure attendue:</w:t>
            </w:r>
            <w:r w:rsidRPr="004A7EFC">
              <w:rPr>
                <w:lang w:val="fr-FR"/>
              </w:rPr>
              <w:t xml:space="preserve"> </w:t>
            </w:r>
            <w:r w:rsidR="0061020A" w:rsidRPr="004A7EFC">
              <w:rPr>
                <w:lang w:val="fr-FR"/>
              </w:rPr>
              <w:t xml:space="preserve">Adopter le projet de décision SERCOM-3/Doc. </w:t>
            </w:r>
            <w:r w:rsidR="00CB6C40">
              <w:rPr>
                <w:lang w:val="fr-FR"/>
              </w:rPr>
              <w:t>4.7(2)</w:t>
            </w:r>
          </w:p>
          <w:p w14:paraId="7999D71E" w14:textId="77777777" w:rsidR="00025AEB" w:rsidRPr="004A7EFC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7E521A0E" w14:textId="77777777" w:rsidR="00092CAE" w:rsidRPr="004A7EFC" w:rsidRDefault="00092CAE">
      <w:pPr>
        <w:tabs>
          <w:tab w:val="clear" w:pos="1134"/>
        </w:tabs>
        <w:jc w:val="left"/>
        <w:rPr>
          <w:lang w:val="fr-FR"/>
        </w:rPr>
      </w:pPr>
    </w:p>
    <w:p w14:paraId="2EBE8D9D" w14:textId="77777777" w:rsidR="00331964" w:rsidRPr="004A7EFC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4A7EFC">
        <w:rPr>
          <w:lang w:val="fr-FR"/>
        </w:rPr>
        <w:br w:type="page"/>
      </w:r>
    </w:p>
    <w:p w14:paraId="0AEB6233" w14:textId="076FDAD8" w:rsidR="00BA52F8" w:rsidRPr="004A7EFC" w:rsidRDefault="00342999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4A7EFC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</w:t>
      </w:r>
      <w:r w:rsidR="00BA52F8" w:rsidRPr="004A7EFC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t>ROJET DE DÉCISION</w:t>
      </w:r>
    </w:p>
    <w:p w14:paraId="0322F827" w14:textId="347DEC54" w:rsidR="0037222D" w:rsidRPr="004A7EFC" w:rsidRDefault="001D71D0" w:rsidP="0037222D">
      <w:pPr>
        <w:pStyle w:val="Heading2"/>
        <w:rPr>
          <w:lang w:val="fr-FR"/>
        </w:rPr>
      </w:pPr>
      <w:r w:rsidRPr="004A7EFC">
        <w:rPr>
          <w:lang w:val="fr-FR"/>
        </w:rPr>
        <w:t xml:space="preserve">Projet de décision </w:t>
      </w:r>
      <w:r w:rsidR="00CB6C40">
        <w:rPr>
          <w:lang w:val="fr-FR"/>
        </w:rPr>
        <w:t>4.7(2)</w:t>
      </w:r>
      <w:r w:rsidRPr="004A7EFC">
        <w:rPr>
          <w:lang w:val="fr-FR"/>
        </w:rPr>
        <w:t xml:space="preserve">/1 </w:t>
      </w:r>
      <w:r w:rsidR="00F21B41" w:rsidRPr="004A7EFC">
        <w:rPr>
          <w:lang w:val="fr-FR"/>
        </w:rPr>
        <w:t>(SERCOM-</w:t>
      </w:r>
      <w:r w:rsidR="00250A6B" w:rsidRPr="004A7EFC">
        <w:rPr>
          <w:lang w:val="fr-FR"/>
        </w:rPr>
        <w:t>3</w:t>
      </w:r>
      <w:r w:rsidR="00F21B41" w:rsidRPr="004A7EFC">
        <w:rPr>
          <w:lang w:val="fr-FR"/>
        </w:rPr>
        <w:t>)</w:t>
      </w:r>
    </w:p>
    <w:p w14:paraId="6F96976E" w14:textId="65EE39D8" w:rsidR="0093261F" w:rsidRPr="004A7EFC" w:rsidRDefault="00522CEB" w:rsidP="0037222D">
      <w:pPr>
        <w:pStyle w:val="WMOBodyText"/>
        <w:rPr>
          <w:b/>
          <w:bCs/>
          <w:lang w:val="fr-FR"/>
        </w:rPr>
      </w:pPr>
      <w:r w:rsidRPr="004A7EFC">
        <w:rPr>
          <w:b/>
          <w:bCs/>
          <w:lang w:val="fr-FR"/>
        </w:rPr>
        <w:t>Prévisions et alertes relatives aux aléas côtiers causés par des vagues longues d</w:t>
      </w:r>
      <w:r w:rsidR="001148C8">
        <w:rPr>
          <w:b/>
          <w:bCs/>
          <w:lang w:val="fr-FR"/>
        </w:rPr>
        <w:t>’</w:t>
      </w:r>
      <w:r w:rsidRPr="004A7EFC">
        <w:rPr>
          <w:b/>
          <w:bCs/>
          <w:lang w:val="fr-FR"/>
        </w:rPr>
        <w:t>origine météorologique, également connues sous le nom de «météo-tsunamis»</w:t>
      </w:r>
    </w:p>
    <w:p w14:paraId="44318540" w14:textId="77777777" w:rsidR="00424D06" w:rsidRPr="004A7EFC" w:rsidRDefault="00250A6B" w:rsidP="00424D06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4A7EFC">
        <w:rPr>
          <w:b/>
          <w:bCs/>
          <w:lang w:val="en-CH"/>
        </w:rPr>
        <w:t>L</w:t>
      </w:r>
      <w:r w:rsidRPr="004A7EFC">
        <w:rPr>
          <w:b/>
          <w:bCs/>
          <w:lang w:val="fr-FR"/>
        </w:rPr>
        <w:t>a Commission des services et applications météorologiques, climatologiques, hydrologiques, maritimes et environnementaux</w:t>
      </w:r>
      <w:r w:rsidRPr="004A7EFC">
        <w:rPr>
          <w:b/>
          <w:bCs/>
          <w:lang w:val="en-CH"/>
        </w:rPr>
        <w:t xml:space="preserve"> </w:t>
      </w:r>
      <w:r w:rsidRPr="004A7EFC">
        <w:rPr>
          <w:b/>
          <w:bCs/>
          <w:lang w:val="fr-FR"/>
        </w:rPr>
        <w:t>décide</w:t>
      </w:r>
      <w:r w:rsidR="00DD3B6A" w:rsidRPr="004A7EFC">
        <w:rPr>
          <w:rFonts w:eastAsia="Verdana" w:cs="Verdana"/>
          <w:b/>
          <w:bCs/>
          <w:lang w:val="en-CH" w:eastAsia="zh-TW"/>
        </w:rPr>
        <w:t>:</w:t>
      </w:r>
      <w:r w:rsidR="00424D06" w:rsidRPr="004A7EFC">
        <w:rPr>
          <w:rFonts w:eastAsia="Verdana" w:cs="Verdana"/>
          <w:lang w:val="fr-FR" w:eastAsia="zh-TW"/>
        </w:rPr>
        <w:t xml:space="preserve"> </w:t>
      </w:r>
    </w:p>
    <w:p w14:paraId="248F0D25" w14:textId="22346C4C" w:rsidR="000C4852" w:rsidRPr="004A7EFC" w:rsidRDefault="001532E8" w:rsidP="000C4852">
      <w:pPr>
        <w:pStyle w:val="WMOBodyText"/>
        <w:numPr>
          <w:ilvl w:val="0"/>
          <w:numId w:val="47"/>
        </w:numPr>
        <w:spacing w:line="259" w:lineRule="auto"/>
        <w:ind w:left="567" w:hanging="567"/>
        <w:rPr>
          <w:rFonts w:eastAsia="Times New Roman" w:cs="Times New Roman"/>
        </w:rPr>
      </w:pPr>
      <w:r w:rsidRPr="004A7EFC">
        <w:rPr>
          <w:rFonts w:eastAsia="Times New Roman" w:cs="Times New Roman"/>
        </w:rPr>
        <w:t xml:space="preserve">De </w:t>
      </w:r>
      <w:proofErr w:type="spellStart"/>
      <w:r w:rsidR="001024B5" w:rsidRPr="004A7EFC">
        <w:rPr>
          <w:rFonts w:eastAsia="Times New Roman" w:cs="Times New Roman"/>
        </w:rPr>
        <w:t>constater</w:t>
      </w:r>
      <w:proofErr w:type="spellEnd"/>
      <w:r w:rsidR="00A86DFF">
        <w:rPr>
          <w:rFonts w:eastAsia="Times New Roman" w:cs="Times New Roman"/>
        </w:rPr>
        <w:t xml:space="preserve"> que</w:t>
      </w:r>
      <w:r w:rsidR="000C4852" w:rsidRPr="004A7EFC">
        <w:rPr>
          <w:rFonts w:eastAsia="Times New Roman" w:cs="Times New Roman"/>
        </w:rPr>
        <w:t>:</w:t>
      </w:r>
    </w:p>
    <w:p w14:paraId="1EF81B96" w14:textId="2E57E887" w:rsidR="000C4852" w:rsidRPr="004A7EFC" w:rsidRDefault="00A86DF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</w:t>
      </w:r>
      <w:r w:rsidR="001148C8">
        <w:rPr>
          <w:rFonts w:eastAsia="Times New Roman" w:cs="Times New Roman"/>
          <w:lang w:val="fr-FR"/>
        </w:rPr>
        <w:t>’</w:t>
      </w:r>
      <w:r w:rsidR="001044B7" w:rsidRPr="004A7EFC">
        <w:rPr>
          <w:rFonts w:eastAsia="Times New Roman" w:cs="Times New Roman"/>
          <w:lang w:val="fr-FR"/>
        </w:rPr>
        <w:t>OMM est l</w:t>
      </w:r>
      <w:r w:rsidR="001148C8">
        <w:rPr>
          <w:rFonts w:eastAsia="Times New Roman" w:cs="Times New Roman"/>
          <w:lang w:val="fr-FR"/>
        </w:rPr>
        <w:t>’</w:t>
      </w:r>
      <w:r w:rsidR="001044B7" w:rsidRPr="004A7EFC">
        <w:rPr>
          <w:rFonts w:eastAsia="Times New Roman" w:cs="Times New Roman"/>
          <w:lang w:val="fr-FR"/>
        </w:rPr>
        <w:t>institution spécialisée du syst</w:t>
      </w:r>
      <w:r w:rsidR="00B5058E" w:rsidRPr="004A7EFC">
        <w:rPr>
          <w:rFonts w:eastAsia="Times New Roman" w:cs="Times New Roman"/>
          <w:lang w:val="fr-FR"/>
        </w:rPr>
        <w:t>è</w:t>
      </w:r>
      <w:r w:rsidR="001044B7" w:rsidRPr="004A7EFC">
        <w:rPr>
          <w:rFonts w:eastAsia="Times New Roman" w:cs="Times New Roman"/>
          <w:lang w:val="fr-FR"/>
        </w:rPr>
        <w:t xml:space="preserve">me des Nations Unies qui fait autorité pour les </w:t>
      </w:r>
      <w:r w:rsidR="00B5058E" w:rsidRPr="004A7EFC">
        <w:rPr>
          <w:rFonts w:eastAsia="Times New Roman" w:cs="Times New Roman"/>
          <w:lang w:val="fr-FR"/>
        </w:rPr>
        <w:t>relatives au temps, au climat et à l</w:t>
      </w:r>
      <w:r w:rsidR="001148C8">
        <w:rPr>
          <w:rFonts w:eastAsia="Times New Roman" w:cs="Times New Roman"/>
          <w:lang w:val="fr-FR"/>
        </w:rPr>
        <w:t>’</w:t>
      </w:r>
      <w:r w:rsidR="00B5058E" w:rsidRPr="004A7EFC">
        <w:rPr>
          <w:rFonts w:eastAsia="Times New Roman" w:cs="Times New Roman"/>
          <w:lang w:val="fr-FR"/>
        </w:rPr>
        <w:t>eau</w:t>
      </w:r>
      <w:r w:rsidR="000C4852" w:rsidRPr="004A7EFC">
        <w:rPr>
          <w:rFonts w:eastAsia="Times New Roman" w:cs="Times New Roman"/>
          <w:lang w:val="fr-FR"/>
        </w:rPr>
        <w:t>;</w:t>
      </w:r>
    </w:p>
    <w:p w14:paraId="2F47067C" w14:textId="77326FBC" w:rsidR="000C4852" w:rsidRPr="004A7EFC" w:rsidRDefault="00A86DF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</w:t>
      </w:r>
      <w:r w:rsidR="008027E2" w:rsidRPr="004A7EFC">
        <w:rPr>
          <w:rFonts w:eastAsia="Times New Roman" w:cs="Times New Roman"/>
          <w:lang w:val="fr-FR"/>
        </w:rPr>
        <w:t xml:space="preserve">es vagues </w:t>
      </w:r>
      <w:r w:rsidR="00F91C7E" w:rsidRPr="004A7EFC">
        <w:rPr>
          <w:rFonts w:eastAsia="Times New Roman" w:cs="Times New Roman"/>
          <w:lang w:val="fr-FR"/>
        </w:rPr>
        <w:t>«</w:t>
      </w:r>
      <w:r w:rsidR="008027E2" w:rsidRPr="004A7EFC">
        <w:rPr>
          <w:rFonts w:eastAsia="Times New Roman" w:cs="Times New Roman"/>
          <w:lang w:val="fr-FR"/>
        </w:rPr>
        <w:t>semblables à des tsunamis</w:t>
      </w:r>
      <w:r w:rsidR="00F91C7E" w:rsidRPr="004A7EFC">
        <w:rPr>
          <w:rFonts w:eastAsia="Times New Roman" w:cs="Times New Roman"/>
          <w:lang w:val="fr-FR"/>
        </w:rPr>
        <w:t>»</w:t>
      </w:r>
      <w:r w:rsidR="008027E2" w:rsidRPr="004A7EFC">
        <w:rPr>
          <w:rFonts w:eastAsia="Times New Roman" w:cs="Times New Roman"/>
          <w:lang w:val="fr-FR"/>
        </w:rPr>
        <w:t xml:space="preserve"> causées par des phénomènes à longue portée d</w:t>
      </w:r>
      <w:r w:rsidR="001148C8">
        <w:rPr>
          <w:rFonts w:eastAsia="Times New Roman" w:cs="Times New Roman"/>
          <w:lang w:val="fr-FR"/>
        </w:rPr>
        <w:t>’</w:t>
      </w:r>
      <w:r w:rsidR="008027E2" w:rsidRPr="004A7EFC">
        <w:rPr>
          <w:rFonts w:eastAsia="Times New Roman" w:cs="Times New Roman"/>
          <w:lang w:val="fr-FR"/>
        </w:rPr>
        <w:t xml:space="preserve">origine météorologiques sont définies comme des </w:t>
      </w:r>
      <w:r w:rsidR="00F91C7E" w:rsidRPr="004A7EFC">
        <w:rPr>
          <w:rFonts w:eastAsia="Times New Roman" w:cs="Times New Roman"/>
          <w:lang w:val="fr-FR"/>
        </w:rPr>
        <w:t>«</w:t>
      </w:r>
      <w:r w:rsidR="008027E2" w:rsidRPr="004A7EFC">
        <w:rPr>
          <w:rFonts w:eastAsia="Times New Roman" w:cs="Times New Roman"/>
          <w:lang w:val="fr-FR"/>
        </w:rPr>
        <w:t>météo-tsunamis</w:t>
      </w:r>
      <w:r w:rsidR="00F91C7E" w:rsidRPr="004A7EFC">
        <w:rPr>
          <w:rFonts w:eastAsia="Times New Roman" w:cs="Times New Roman"/>
          <w:lang w:val="fr-FR"/>
        </w:rPr>
        <w:t>»</w:t>
      </w:r>
      <w:r w:rsidR="008027E2" w:rsidRPr="004A7EFC">
        <w:rPr>
          <w:rFonts w:eastAsia="Times New Roman" w:cs="Times New Roman"/>
          <w:lang w:val="fr-FR"/>
        </w:rPr>
        <w:t xml:space="preserve"> dans les milieux universitaires et par la Commission océanographique intergouvernementale (COI) de l</w:t>
      </w:r>
      <w:r w:rsidR="001148C8">
        <w:rPr>
          <w:rFonts w:eastAsia="Times New Roman" w:cs="Times New Roman"/>
          <w:lang w:val="fr-FR"/>
        </w:rPr>
        <w:t>’</w:t>
      </w:r>
      <w:r w:rsidR="008027E2" w:rsidRPr="004A7EFC">
        <w:rPr>
          <w:rFonts w:eastAsia="Times New Roman" w:cs="Times New Roman"/>
          <w:lang w:val="fr-FR"/>
        </w:rPr>
        <w:t>UNESCO</w:t>
      </w:r>
      <w:r w:rsidR="000C4852" w:rsidRPr="004A7EFC">
        <w:rPr>
          <w:rFonts w:eastAsia="Times New Roman" w:cs="Times New Roman"/>
          <w:lang w:val="fr-FR"/>
        </w:rPr>
        <w:t>;</w:t>
      </w:r>
    </w:p>
    <w:p w14:paraId="52D09757" w14:textId="6A2E9C27" w:rsidR="000C4852" w:rsidRPr="004A7EFC" w:rsidRDefault="00A86DF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Le</w:t>
      </w:r>
      <w:r w:rsidR="003D2BE4" w:rsidRPr="004A7EFC">
        <w:rPr>
          <w:rFonts w:eastAsia="Times New Roman" w:cs="Times New Roman"/>
          <w:lang w:val="fr-FR"/>
        </w:rPr>
        <w:t xml:space="preserve"> terme </w:t>
      </w:r>
      <w:r w:rsidR="00F91C7E" w:rsidRPr="004A7EFC">
        <w:rPr>
          <w:rFonts w:eastAsia="Times New Roman" w:cs="Times New Roman"/>
          <w:lang w:val="fr-FR"/>
        </w:rPr>
        <w:t>«</w:t>
      </w:r>
      <w:r w:rsidR="003D2BE4" w:rsidRPr="004A7EFC">
        <w:rPr>
          <w:rFonts w:eastAsia="Times New Roman" w:cs="Times New Roman"/>
          <w:lang w:val="fr-FR"/>
        </w:rPr>
        <w:t>mét</w:t>
      </w:r>
      <w:r w:rsidR="001832B9" w:rsidRPr="004A7EFC">
        <w:rPr>
          <w:rFonts w:eastAsia="Times New Roman" w:cs="Times New Roman"/>
          <w:lang w:val="fr-FR"/>
        </w:rPr>
        <w:t>é</w:t>
      </w:r>
      <w:r w:rsidR="003D2BE4" w:rsidRPr="004A7EFC">
        <w:rPr>
          <w:rFonts w:eastAsia="Times New Roman" w:cs="Times New Roman"/>
          <w:lang w:val="fr-FR"/>
        </w:rPr>
        <w:t>o-tsunami</w:t>
      </w:r>
      <w:r w:rsidR="00F91C7E" w:rsidRPr="004A7EFC">
        <w:rPr>
          <w:rFonts w:eastAsia="Times New Roman" w:cs="Times New Roman"/>
          <w:lang w:val="fr-FR"/>
        </w:rPr>
        <w:t>»</w:t>
      </w:r>
      <w:r w:rsidR="003D2BE4" w:rsidRPr="004A7EFC">
        <w:rPr>
          <w:rFonts w:eastAsia="Times New Roman" w:cs="Times New Roman"/>
          <w:lang w:val="fr-FR"/>
        </w:rPr>
        <w:t xml:space="preserve"> n</w:t>
      </w:r>
      <w:r w:rsidR="001148C8">
        <w:rPr>
          <w:rFonts w:eastAsia="Times New Roman" w:cs="Times New Roman"/>
          <w:lang w:val="fr-FR"/>
        </w:rPr>
        <w:t>’</w:t>
      </w:r>
      <w:r w:rsidR="003D2BE4" w:rsidRPr="004A7EFC">
        <w:rPr>
          <w:rFonts w:eastAsia="Times New Roman" w:cs="Times New Roman"/>
          <w:lang w:val="fr-FR"/>
        </w:rPr>
        <w:t>est pas un terme officiellement reconnu ou utilisé par l</w:t>
      </w:r>
      <w:r w:rsidR="001148C8">
        <w:rPr>
          <w:rFonts w:eastAsia="Times New Roman" w:cs="Times New Roman"/>
          <w:lang w:val="fr-FR"/>
        </w:rPr>
        <w:t>’</w:t>
      </w:r>
      <w:r w:rsidR="003D2BE4" w:rsidRPr="004A7EFC">
        <w:rPr>
          <w:rFonts w:eastAsia="Times New Roman" w:cs="Times New Roman"/>
          <w:lang w:val="fr-FR"/>
        </w:rPr>
        <w:t>OMM;</w:t>
      </w:r>
    </w:p>
    <w:p w14:paraId="274ACBB5" w14:textId="406506BA" w:rsidR="000C4852" w:rsidRPr="004A7EFC" w:rsidRDefault="00A86DF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</w:t>
      </w:r>
      <w:r w:rsidR="001148C8">
        <w:rPr>
          <w:rFonts w:eastAsia="Times New Roman" w:cs="Times New Roman"/>
          <w:lang w:val="fr-FR"/>
        </w:rPr>
        <w:t>’</w:t>
      </w:r>
      <w:r w:rsidR="00EB38CF" w:rsidRPr="004A7EFC">
        <w:rPr>
          <w:rFonts w:eastAsia="Times New Roman" w:cs="Times New Roman"/>
          <w:lang w:val="fr-FR"/>
        </w:rPr>
        <w:t>emploi</w:t>
      </w:r>
      <w:r w:rsidR="00291CBB" w:rsidRPr="004A7EFC">
        <w:rPr>
          <w:rFonts w:eastAsia="Times New Roman" w:cs="Times New Roman"/>
          <w:lang w:val="fr-FR"/>
        </w:rPr>
        <w:t xml:space="preserve"> du terme </w:t>
      </w:r>
      <w:r w:rsidR="00F91C7E" w:rsidRPr="004A7EFC">
        <w:rPr>
          <w:rFonts w:eastAsia="Times New Roman" w:cs="Times New Roman"/>
          <w:lang w:val="fr-FR"/>
        </w:rPr>
        <w:t>«</w:t>
      </w:r>
      <w:r w:rsidR="00291CBB" w:rsidRPr="004A7EFC">
        <w:rPr>
          <w:rFonts w:eastAsia="Times New Roman" w:cs="Times New Roman"/>
          <w:lang w:val="fr-FR"/>
        </w:rPr>
        <w:t>météo-tsunami</w:t>
      </w:r>
      <w:r w:rsidR="00F91C7E" w:rsidRPr="004A7EFC">
        <w:rPr>
          <w:rFonts w:eastAsia="Times New Roman" w:cs="Times New Roman"/>
          <w:lang w:val="fr-FR"/>
        </w:rPr>
        <w:t>»</w:t>
      </w:r>
      <w:r w:rsidR="00291CBB" w:rsidRPr="004A7EFC">
        <w:rPr>
          <w:rFonts w:eastAsia="Times New Roman" w:cs="Times New Roman"/>
          <w:lang w:val="fr-FR"/>
        </w:rPr>
        <w:t xml:space="preserve"> dans les prévisions et les alertes précoces risque fort d</w:t>
      </w:r>
      <w:r w:rsidR="001148C8">
        <w:rPr>
          <w:rFonts w:eastAsia="Times New Roman" w:cs="Times New Roman"/>
          <w:lang w:val="fr-FR"/>
        </w:rPr>
        <w:t>’</w:t>
      </w:r>
      <w:r w:rsidR="0003633B" w:rsidRPr="004A7EFC">
        <w:rPr>
          <w:rFonts w:eastAsia="Times New Roman" w:cs="Times New Roman"/>
          <w:lang w:val="fr-FR"/>
        </w:rPr>
        <w:t xml:space="preserve">entraîner </w:t>
      </w:r>
      <w:r w:rsidR="00291CBB" w:rsidRPr="004A7EFC">
        <w:rPr>
          <w:rFonts w:eastAsia="Times New Roman" w:cs="Times New Roman"/>
          <w:lang w:val="fr-FR"/>
        </w:rPr>
        <w:t>une confusion dans l</w:t>
      </w:r>
      <w:r w:rsidR="001148C8">
        <w:rPr>
          <w:rFonts w:eastAsia="Times New Roman" w:cs="Times New Roman"/>
          <w:lang w:val="fr-FR"/>
        </w:rPr>
        <w:t>’</w:t>
      </w:r>
      <w:r w:rsidR="00291CBB" w:rsidRPr="004A7EFC">
        <w:rPr>
          <w:rFonts w:eastAsia="Times New Roman" w:cs="Times New Roman"/>
          <w:lang w:val="fr-FR"/>
        </w:rPr>
        <w:t xml:space="preserve">esprit du public </w:t>
      </w:r>
      <w:r w:rsidR="0003633B" w:rsidRPr="004A7EFC">
        <w:rPr>
          <w:rFonts w:eastAsia="Times New Roman" w:cs="Times New Roman"/>
          <w:lang w:val="fr-FR"/>
        </w:rPr>
        <w:t xml:space="preserve">avec les </w:t>
      </w:r>
      <w:r w:rsidR="00291CBB" w:rsidRPr="004A7EFC">
        <w:rPr>
          <w:rFonts w:eastAsia="Times New Roman" w:cs="Times New Roman"/>
          <w:lang w:val="fr-FR"/>
        </w:rPr>
        <w:t>effets imminents et potentiellement catastrophiques des véritables vagues de tsunami</w:t>
      </w:r>
      <w:r w:rsidR="000C4852" w:rsidRPr="004A7EFC">
        <w:rPr>
          <w:rFonts w:eastAsia="Times New Roman" w:cs="Times New Roman"/>
          <w:lang w:val="fr-FR"/>
        </w:rPr>
        <w:t>;</w:t>
      </w:r>
    </w:p>
    <w:p w14:paraId="7B75B631" w14:textId="09BFFD0A" w:rsidR="000C4852" w:rsidRPr="004A7EFC" w:rsidRDefault="00A86DF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Le</w:t>
      </w:r>
      <w:r w:rsidR="009427E3" w:rsidRPr="004A7EFC">
        <w:rPr>
          <w:rFonts w:eastAsia="Times New Roman" w:cs="Times New Roman"/>
          <w:lang w:val="fr-FR"/>
        </w:rPr>
        <w:t xml:space="preserve"> rôle et les responsabilités des Services hydrologiques et météorologiques nationaux (SMHN) en ce qui concerne les alertes en cas d</w:t>
      </w:r>
      <w:r w:rsidR="001148C8">
        <w:rPr>
          <w:rFonts w:eastAsia="Times New Roman" w:cs="Times New Roman"/>
          <w:lang w:val="fr-FR"/>
        </w:rPr>
        <w:t>’</w:t>
      </w:r>
      <w:r w:rsidR="009427E3" w:rsidRPr="004A7EFC">
        <w:rPr>
          <w:rFonts w:eastAsia="Times New Roman" w:cs="Times New Roman"/>
          <w:lang w:val="fr-FR"/>
        </w:rPr>
        <w:t xml:space="preserve">inondations côtières et de phénomènes maritimes dus aux conditions météorologiques, causés par des phénomènes tels que les vagues </w:t>
      </w:r>
      <w:r w:rsidR="00F91C7E" w:rsidRPr="004A7EFC">
        <w:rPr>
          <w:rFonts w:eastAsia="Times New Roman" w:cs="Times New Roman"/>
          <w:lang w:val="fr-FR"/>
        </w:rPr>
        <w:t>«</w:t>
      </w:r>
      <w:r w:rsidR="009427E3" w:rsidRPr="004A7EFC">
        <w:rPr>
          <w:rFonts w:eastAsia="Times New Roman" w:cs="Times New Roman"/>
          <w:lang w:val="fr-FR"/>
        </w:rPr>
        <w:t>semblables à des tsunamis</w:t>
      </w:r>
      <w:r w:rsidR="00F91C7E" w:rsidRPr="004A7EFC">
        <w:rPr>
          <w:rFonts w:eastAsia="Times New Roman" w:cs="Times New Roman"/>
          <w:lang w:val="fr-FR"/>
        </w:rPr>
        <w:t>»</w:t>
      </w:r>
      <w:r w:rsidR="009427E3" w:rsidRPr="004A7EFC">
        <w:rPr>
          <w:rFonts w:eastAsia="Times New Roman" w:cs="Times New Roman"/>
          <w:lang w:val="fr-FR"/>
        </w:rPr>
        <w:t xml:space="preserve"> d</w:t>
      </w:r>
      <w:r w:rsidR="001148C8">
        <w:rPr>
          <w:rFonts w:eastAsia="Times New Roman" w:cs="Times New Roman"/>
          <w:lang w:val="fr-FR"/>
        </w:rPr>
        <w:t>’</w:t>
      </w:r>
      <w:r w:rsidR="009427E3" w:rsidRPr="004A7EFC">
        <w:rPr>
          <w:rFonts w:eastAsia="Times New Roman" w:cs="Times New Roman"/>
          <w:lang w:val="fr-FR"/>
        </w:rPr>
        <w:t xml:space="preserve">origine météorologique, également appelées </w:t>
      </w:r>
      <w:r w:rsidR="00F91C7E" w:rsidRPr="004A7EFC">
        <w:rPr>
          <w:rFonts w:eastAsia="Times New Roman" w:cs="Times New Roman"/>
          <w:lang w:val="fr-FR"/>
        </w:rPr>
        <w:t>«</w:t>
      </w:r>
      <w:r w:rsidR="009427E3" w:rsidRPr="004A7EFC">
        <w:rPr>
          <w:rFonts w:eastAsia="Times New Roman" w:cs="Times New Roman"/>
          <w:lang w:val="fr-FR"/>
        </w:rPr>
        <w:t>météo-tsunamis</w:t>
      </w:r>
      <w:r w:rsidR="00F91C7E" w:rsidRPr="004A7EFC">
        <w:rPr>
          <w:rFonts w:eastAsia="Times New Roman" w:cs="Times New Roman"/>
          <w:lang w:val="fr-FR"/>
        </w:rPr>
        <w:t>»</w:t>
      </w:r>
      <w:r w:rsidR="009427E3" w:rsidRPr="004A7EFC">
        <w:rPr>
          <w:rFonts w:eastAsia="Times New Roman" w:cs="Times New Roman"/>
          <w:lang w:val="fr-FR"/>
        </w:rPr>
        <w:t>, font implicitement partie de leur responsabilité en matière de prévisions et d</w:t>
      </w:r>
      <w:r w:rsidR="001148C8">
        <w:rPr>
          <w:rFonts w:eastAsia="Times New Roman" w:cs="Times New Roman"/>
          <w:lang w:val="fr-FR"/>
        </w:rPr>
        <w:t>’</w:t>
      </w:r>
      <w:r w:rsidR="009427E3" w:rsidRPr="004A7EFC">
        <w:rPr>
          <w:rFonts w:eastAsia="Times New Roman" w:cs="Times New Roman"/>
          <w:lang w:val="fr-FR"/>
        </w:rPr>
        <w:t>alertes liées aux impacts des risques côtiers;</w:t>
      </w:r>
    </w:p>
    <w:p w14:paraId="6DDB7507" w14:textId="3DEB3042" w:rsidR="000C4852" w:rsidRPr="004A7EFC" w:rsidRDefault="00A86DF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>
        <w:rPr>
          <w:rFonts w:eastAsia="Times New Roman" w:cs="Times New Roman"/>
          <w:lang w:val="fr-FR"/>
        </w:rPr>
        <w:t>C</w:t>
      </w:r>
      <w:r w:rsidR="00F0050C" w:rsidRPr="004A7EFC">
        <w:rPr>
          <w:rFonts w:eastAsia="Times New Roman" w:cs="Times New Roman"/>
          <w:lang w:val="fr-FR"/>
        </w:rPr>
        <w:t>ertains Membres de l</w:t>
      </w:r>
      <w:r w:rsidR="001148C8">
        <w:rPr>
          <w:rFonts w:eastAsia="Times New Roman" w:cs="Times New Roman"/>
          <w:lang w:val="fr-FR"/>
        </w:rPr>
        <w:t>’</w:t>
      </w:r>
      <w:r w:rsidR="00F0050C" w:rsidRPr="004A7EFC">
        <w:rPr>
          <w:rFonts w:eastAsia="Times New Roman" w:cs="Times New Roman"/>
          <w:lang w:val="fr-FR"/>
        </w:rPr>
        <w:t>OMM s</w:t>
      </w:r>
      <w:r w:rsidR="001148C8">
        <w:rPr>
          <w:rFonts w:eastAsia="Times New Roman" w:cs="Times New Roman"/>
          <w:lang w:val="fr-FR"/>
        </w:rPr>
        <w:t>’</w:t>
      </w:r>
      <w:r w:rsidR="00F0050C" w:rsidRPr="004A7EFC">
        <w:rPr>
          <w:rFonts w:eastAsia="Times New Roman" w:cs="Times New Roman"/>
          <w:lang w:val="fr-FR"/>
        </w:rPr>
        <w:t xml:space="preserve">inquiètent du manque de clarté autour des rôles, des responsabilités et de la terminologie associés au terme </w:t>
      </w:r>
      <w:r w:rsidR="00F91C7E" w:rsidRPr="004A7EFC">
        <w:rPr>
          <w:rFonts w:eastAsia="Times New Roman" w:cs="Times New Roman"/>
          <w:lang w:val="fr-FR"/>
        </w:rPr>
        <w:t>«</w:t>
      </w:r>
      <w:r w:rsidR="00F0050C" w:rsidRPr="004A7EFC">
        <w:rPr>
          <w:rFonts w:eastAsia="Times New Roman" w:cs="Times New Roman"/>
          <w:lang w:val="fr-FR"/>
        </w:rPr>
        <w:t>météo-tsunami</w:t>
      </w:r>
      <w:r w:rsidR="00F91C7E" w:rsidRPr="004A7EFC">
        <w:rPr>
          <w:rFonts w:eastAsia="Times New Roman" w:cs="Times New Roman"/>
          <w:lang w:val="fr-FR"/>
        </w:rPr>
        <w:t>»</w:t>
      </w:r>
      <w:r w:rsidR="00F0050C" w:rsidRPr="004A7EFC">
        <w:rPr>
          <w:rFonts w:eastAsia="Times New Roman" w:cs="Times New Roman"/>
          <w:lang w:val="fr-FR"/>
        </w:rPr>
        <w:t>, qui n</w:t>
      </w:r>
      <w:r w:rsidR="001148C8">
        <w:rPr>
          <w:rFonts w:eastAsia="Times New Roman" w:cs="Times New Roman"/>
          <w:lang w:val="fr-FR"/>
        </w:rPr>
        <w:t>’</w:t>
      </w:r>
      <w:r w:rsidR="00F0050C" w:rsidRPr="004A7EFC">
        <w:rPr>
          <w:rFonts w:eastAsia="Times New Roman" w:cs="Times New Roman"/>
          <w:lang w:val="fr-FR"/>
        </w:rPr>
        <w:t>est pas reconnu par l</w:t>
      </w:r>
      <w:r w:rsidR="001148C8">
        <w:rPr>
          <w:rFonts w:eastAsia="Times New Roman" w:cs="Times New Roman"/>
          <w:lang w:val="fr-FR"/>
        </w:rPr>
        <w:t>’</w:t>
      </w:r>
      <w:r w:rsidR="00F0050C" w:rsidRPr="004A7EFC">
        <w:rPr>
          <w:rFonts w:eastAsia="Times New Roman" w:cs="Times New Roman"/>
          <w:lang w:val="fr-FR"/>
        </w:rPr>
        <w:t>OMM;</w:t>
      </w:r>
    </w:p>
    <w:p w14:paraId="172577DE" w14:textId="1F7243E9" w:rsidR="000C4852" w:rsidRPr="004A7EFC" w:rsidRDefault="003C68E1" w:rsidP="000C4852">
      <w:pPr>
        <w:pStyle w:val="WMOBodyText"/>
        <w:numPr>
          <w:ilvl w:val="0"/>
          <w:numId w:val="47"/>
        </w:numPr>
        <w:ind w:left="567" w:hanging="567"/>
        <w:rPr>
          <w:rFonts w:eastAsia="Times New Roman" w:cs="Times New Roman"/>
          <w:shd w:val="clear" w:color="auto" w:fill="D3D3D3"/>
          <w:lang w:val="fr-FR"/>
        </w:rPr>
      </w:pPr>
      <w:r w:rsidRPr="004A7EFC">
        <w:rPr>
          <w:rFonts w:eastAsia="Times New Roman" w:cs="Times New Roman"/>
          <w:lang w:val="fr-FR"/>
        </w:rPr>
        <w:t>De prier le Président du Comité permanent des services de météorologie marine et d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>océanographie (SC-MMO)</w:t>
      </w:r>
      <w:r w:rsidR="000C4852" w:rsidRPr="004A7EFC">
        <w:rPr>
          <w:lang w:val="fr-FR"/>
        </w:rPr>
        <w:t>:</w:t>
      </w:r>
    </w:p>
    <w:p w14:paraId="13744FE6" w14:textId="1F1F5124" w:rsidR="000C4852" w:rsidRPr="004A7EFC" w:rsidRDefault="00270C2D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 w:rsidRPr="004A7EFC">
        <w:rPr>
          <w:rFonts w:eastAsia="Times New Roman" w:cs="Times New Roman"/>
          <w:lang w:val="fr-FR"/>
        </w:rPr>
        <w:t>D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 xml:space="preserve">étudier comment le </w:t>
      </w:r>
      <w:r w:rsidRPr="004A7EFC">
        <w:rPr>
          <w:rFonts w:eastAsia="Times New Roman" w:cs="Times New Roman"/>
          <w:i/>
          <w:iCs/>
          <w:lang w:val="fr-FR"/>
        </w:rPr>
        <w:t>terme</w:t>
      </w:r>
      <w:r w:rsidRPr="004A7EFC">
        <w:rPr>
          <w:rFonts w:eastAsia="Times New Roman" w:cs="Times New Roman"/>
          <w:lang w:val="fr-FR"/>
        </w:rPr>
        <w:t xml:space="preserve"> connu ailleurs sous le nom de </w:t>
      </w:r>
      <w:r w:rsidR="00F91C7E" w:rsidRPr="004A7EFC">
        <w:rPr>
          <w:rFonts w:eastAsia="Times New Roman" w:cs="Times New Roman"/>
          <w:lang w:val="fr-FR"/>
        </w:rPr>
        <w:t>«</w:t>
      </w:r>
      <w:r w:rsidR="008142C6" w:rsidRPr="004A7EFC">
        <w:rPr>
          <w:rFonts w:eastAsia="Times New Roman" w:cs="Times New Roman"/>
          <w:lang w:val="fr-FR"/>
        </w:rPr>
        <w:t>météo-tsunami</w:t>
      </w:r>
      <w:r w:rsidR="00F91C7E" w:rsidRPr="004A7EFC">
        <w:rPr>
          <w:rFonts w:eastAsia="Times New Roman" w:cs="Times New Roman"/>
          <w:lang w:val="fr-FR"/>
        </w:rPr>
        <w:t>»</w:t>
      </w:r>
      <w:r w:rsidRPr="004A7EFC">
        <w:rPr>
          <w:rFonts w:eastAsia="Times New Roman" w:cs="Times New Roman"/>
          <w:lang w:val="fr-FR"/>
        </w:rPr>
        <w:t xml:space="preserve"> est employé, de déterminer si l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>OMM juge cet emploi acceptable et de rendre compte des résultats de cette étude lors d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>une prochaine session de la SERCOM;</w:t>
      </w:r>
    </w:p>
    <w:p w14:paraId="7029F2A2" w14:textId="257344E8" w:rsidR="000C4852" w:rsidRPr="004A7EFC" w:rsidRDefault="007E20EF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 w:rsidRPr="004A7EFC">
        <w:rPr>
          <w:lang w:val="fr-FR"/>
        </w:rPr>
        <w:t xml:space="preserve">De diriger et de coordonner, en offrant des conseils techniques et </w:t>
      </w:r>
      <w:r w:rsidR="0013656A" w:rsidRPr="004A7EFC">
        <w:rPr>
          <w:lang w:val="fr-FR"/>
        </w:rPr>
        <w:t>un encadrement</w:t>
      </w:r>
      <w:r w:rsidRPr="004A7EFC">
        <w:rPr>
          <w:lang w:val="fr-FR"/>
        </w:rPr>
        <w:t>, l</w:t>
      </w:r>
      <w:r w:rsidR="001148C8">
        <w:rPr>
          <w:lang w:val="fr-FR"/>
        </w:rPr>
        <w:t>’</w:t>
      </w:r>
      <w:r w:rsidRPr="004A7EFC">
        <w:rPr>
          <w:lang w:val="fr-FR"/>
        </w:rPr>
        <w:t>élaboration d</w:t>
      </w:r>
      <w:r w:rsidR="001148C8">
        <w:rPr>
          <w:lang w:val="fr-FR"/>
        </w:rPr>
        <w:t>’</w:t>
      </w:r>
      <w:r w:rsidRPr="004A7EFC">
        <w:rPr>
          <w:lang w:val="fr-FR"/>
        </w:rPr>
        <w:t>orientation</w:t>
      </w:r>
      <w:r w:rsidR="0092088B" w:rsidRPr="004A7EFC">
        <w:rPr>
          <w:lang w:val="fr-FR"/>
        </w:rPr>
        <w:t>s</w:t>
      </w:r>
      <w:r w:rsidRPr="004A7EFC">
        <w:rPr>
          <w:lang w:val="fr-FR"/>
        </w:rPr>
        <w:t xml:space="preserve"> destiné</w:t>
      </w:r>
      <w:r w:rsidR="0092088B" w:rsidRPr="004A7EFC">
        <w:rPr>
          <w:lang w:val="fr-FR"/>
        </w:rPr>
        <w:t>e</w:t>
      </w:r>
      <w:r w:rsidRPr="004A7EFC">
        <w:rPr>
          <w:lang w:val="fr-FR"/>
        </w:rPr>
        <w:t>s aux SMHN au sujet des risques côtiers causés par des vagues longues d</w:t>
      </w:r>
      <w:r w:rsidR="001148C8">
        <w:rPr>
          <w:lang w:val="fr-FR"/>
        </w:rPr>
        <w:t>’</w:t>
      </w:r>
      <w:r w:rsidRPr="004A7EFC">
        <w:rPr>
          <w:lang w:val="fr-FR"/>
        </w:rPr>
        <w:t xml:space="preserve">origine météorologique, considérées comme </w:t>
      </w:r>
      <w:r w:rsidR="00F91C7E" w:rsidRPr="004A7EFC">
        <w:rPr>
          <w:rFonts w:eastAsia="Times New Roman" w:cs="Times New Roman"/>
          <w:lang w:val="fr-FR"/>
        </w:rPr>
        <w:t>«</w:t>
      </w:r>
      <w:r w:rsidRPr="004A7EFC">
        <w:rPr>
          <w:lang w:val="fr-FR"/>
        </w:rPr>
        <w:t>semblables à des tsunamis</w:t>
      </w:r>
      <w:r w:rsidR="00F91C7E" w:rsidRPr="004A7EFC">
        <w:rPr>
          <w:rFonts w:eastAsia="Times New Roman" w:cs="Times New Roman"/>
          <w:lang w:val="fr-FR"/>
        </w:rPr>
        <w:t>»</w:t>
      </w:r>
      <w:r w:rsidRPr="004A7EFC">
        <w:rPr>
          <w:lang w:val="fr-FR"/>
        </w:rPr>
        <w:t xml:space="preserve"> (parfois appelées ailleurs </w:t>
      </w:r>
      <w:r w:rsidR="00F91C7E" w:rsidRPr="004A7EFC">
        <w:rPr>
          <w:rFonts w:eastAsia="Times New Roman" w:cs="Times New Roman"/>
          <w:lang w:val="fr-FR"/>
        </w:rPr>
        <w:t>«</w:t>
      </w:r>
      <w:r w:rsidRPr="004A7EFC">
        <w:rPr>
          <w:lang w:val="fr-FR"/>
        </w:rPr>
        <w:t>météo</w:t>
      </w:r>
      <w:r w:rsidR="0013656A" w:rsidRPr="004A7EFC">
        <w:rPr>
          <w:lang w:val="fr-FR"/>
        </w:rPr>
        <w:t>-</w:t>
      </w:r>
      <w:r w:rsidRPr="004A7EFC">
        <w:rPr>
          <w:lang w:val="fr-FR"/>
        </w:rPr>
        <w:t>tsunamis</w:t>
      </w:r>
      <w:r w:rsidR="00F91C7E" w:rsidRPr="004A7EFC">
        <w:rPr>
          <w:rFonts w:eastAsia="Times New Roman" w:cs="Times New Roman"/>
          <w:lang w:val="fr-FR"/>
        </w:rPr>
        <w:t>»</w:t>
      </w:r>
      <w:r w:rsidRPr="004A7EFC">
        <w:rPr>
          <w:lang w:val="fr-FR"/>
        </w:rPr>
        <w:t>), comme cela est indiqué dans l</w:t>
      </w:r>
      <w:r w:rsidR="001148C8">
        <w:rPr>
          <w:lang w:val="fr-FR"/>
        </w:rPr>
        <w:t>’</w:t>
      </w:r>
      <w:hyperlink w:anchor="_Annexe_du_projet" w:history="1">
        <w:r w:rsidRPr="004A7EFC">
          <w:rPr>
            <w:rStyle w:val="Hyperlink"/>
            <w:lang w:val="fr-FR"/>
          </w:rPr>
          <w:t>annexe</w:t>
        </w:r>
      </w:hyperlink>
      <w:r w:rsidRPr="004A7EFC">
        <w:rPr>
          <w:lang w:val="fr-FR"/>
        </w:rPr>
        <w:t xml:space="preserve"> du présent projet de décision;</w:t>
      </w:r>
    </w:p>
    <w:p w14:paraId="144E2704" w14:textId="3D6ED272" w:rsidR="000C4852" w:rsidRPr="004A7EFC" w:rsidRDefault="00F1397B" w:rsidP="000C4852">
      <w:pPr>
        <w:pStyle w:val="WMOBodyText"/>
        <w:numPr>
          <w:ilvl w:val="1"/>
          <w:numId w:val="47"/>
        </w:numPr>
        <w:ind w:left="1134" w:hanging="567"/>
        <w:rPr>
          <w:rFonts w:eastAsia="Times New Roman" w:cs="Times New Roman"/>
          <w:lang w:val="fr-FR"/>
        </w:rPr>
      </w:pPr>
      <w:r w:rsidRPr="004A7EFC">
        <w:rPr>
          <w:lang w:val="fr-FR"/>
        </w:rPr>
        <w:t>De consulter d</w:t>
      </w:r>
      <w:r w:rsidR="001148C8">
        <w:rPr>
          <w:lang w:val="fr-FR"/>
        </w:rPr>
        <w:t>’</w:t>
      </w:r>
      <w:r w:rsidRPr="004A7EFC">
        <w:rPr>
          <w:lang w:val="fr-FR"/>
        </w:rPr>
        <w:t>autres organismes compétents, le cas échéant, y compris la COI de l</w:t>
      </w:r>
      <w:r w:rsidR="001148C8">
        <w:rPr>
          <w:lang w:val="fr-FR"/>
        </w:rPr>
        <w:t>’</w:t>
      </w:r>
      <w:r w:rsidRPr="004A7EFC">
        <w:rPr>
          <w:lang w:val="fr-FR"/>
        </w:rPr>
        <w:t>UNESCO;</w:t>
      </w:r>
    </w:p>
    <w:p w14:paraId="153B892A" w14:textId="296E5254" w:rsidR="000C4852" w:rsidRPr="004A7EFC" w:rsidRDefault="00B97C33" w:rsidP="000C4852">
      <w:pPr>
        <w:pStyle w:val="WMOBodyText"/>
        <w:numPr>
          <w:ilvl w:val="0"/>
          <w:numId w:val="47"/>
        </w:numPr>
        <w:ind w:left="567" w:hanging="567"/>
        <w:rPr>
          <w:rFonts w:eastAsia="Times New Roman" w:cs="Times New Roman"/>
          <w:lang w:val="fr-FR"/>
        </w:rPr>
      </w:pPr>
      <w:r w:rsidRPr="004A7EFC">
        <w:rPr>
          <w:lang w:val="fr-FR"/>
        </w:rPr>
        <w:lastRenderedPageBreak/>
        <w:t>De prier le Secrétariat de l</w:t>
      </w:r>
      <w:r w:rsidR="001148C8">
        <w:rPr>
          <w:lang w:val="fr-FR"/>
        </w:rPr>
        <w:t>’</w:t>
      </w:r>
      <w:r w:rsidRPr="004A7EFC">
        <w:rPr>
          <w:lang w:val="fr-FR"/>
        </w:rPr>
        <w:t>OMM d</w:t>
      </w:r>
      <w:r w:rsidR="001148C8">
        <w:rPr>
          <w:lang w:val="fr-FR"/>
        </w:rPr>
        <w:t>’</w:t>
      </w:r>
      <w:r w:rsidRPr="004A7EFC">
        <w:rPr>
          <w:lang w:val="fr-FR"/>
        </w:rPr>
        <w:t>apporter son concours à l</w:t>
      </w:r>
      <w:r w:rsidR="001148C8">
        <w:rPr>
          <w:lang w:val="fr-FR"/>
        </w:rPr>
        <w:t>’</w:t>
      </w:r>
      <w:r w:rsidRPr="004A7EFC">
        <w:rPr>
          <w:lang w:val="fr-FR"/>
        </w:rPr>
        <w:t>élaboration d</w:t>
      </w:r>
      <w:r w:rsidR="00F50521" w:rsidRPr="004A7EFC">
        <w:rPr>
          <w:lang w:val="fr-FR"/>
        </w:rPr>
        <w:t xml:space="preserve">e telles </w:t>
      </w:r>
      <w:r w:rsidRPr="004A7EFC">
        <w:rPr>
          <w:lang w:val="fr-FR"/>
        </w:rPr>
        <w:t>orientations, en consultation avec le président du SC-MMO;</w:t>
      </w:r>
    </w:p>
    <w:p w14:paraId="24AEFE93" w14:textId="41ADFE79" w:rsidR="000C4852" w:rsidRPr="004A7EFC" w:rsidRDefault="008F6887" w:rsidP="000C4852">
      <w:pPr>
        <w:pStyle w:val="WMOBodyText"/>
        <w:numPr>
          <w:ilvl w:val="0"/>
          <w:numId w:val="47"/>
        </w:numPr>
        <w:ind w:left="567" w:hanging="567"/>
        <w:rPr>
          <w:rFonts w:eastAsia="Times New Roman" w:cs="Times New Roman"/>
          <w:lang w:val="fr-FR"/>
        </w:rPr>
      </w:pPr>
      <w:r w:rsidRPr="004A7EFC">
        <w:rPr>
          <w:rFonts w:eastAsia="Times New Roman" w:cs="Times New Roman"/>
          <w:lang w:val="fr-FR"/>
        </w:rPr>
        <w:t xml:space="preserve">De prier en outre le président du SC-MMO, qui la représente au sein du </w:t>
      </w:r>
      <w:r w:rsidR="00EE6A2F" w:rsidRPr="004A7EFC">
        <w:rPr>
          <w:rFonts w:eastAsia="Times New Roman" w:cs="Times New Roman"/>
          <w:lang w:val="fr-FR"/>
        </w:rPr>
        <w:t>Conseil collaboratif mixte OMM-COI</w:t>
      </w:r>
      <w:r w:rsidRPr="004A7EFC">
        <w:rPr>
          <w:rFonts w:eastAsia="Times New Roman" w:cs="Times New Roman"/>
          <w:lang w:val="fr-FR"/>
        </w:rPr>
        <w:t>, de soulever la question de l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 xml:space="preserve">emploi du terme </w:t>
      </w:r>
      <w:r w:rsidR="00F91C7E" w:rsidRPr="004A7EFC">
        <w:rPr>
          <w:rFonts w:eastAsia="Times New Roman" w:cs="Times New Roman"/>
          <w:lang w:val="fr-FR"/>
        </w:rPr>
        <w:t>«</w:t>
      </w:r>
      <w:r w:rsidRPr="004A7EFC">
        <w:rPr>
          <w:rFonts w:eastAsia="Times New Roman" w:cs="Times New Roman"/>
          <w:lang w:val="fr-FR"/>
        </w:rPr>
        <w:t>météo-tsunami</w:t>
      </w:r>
      <w:r w:rsidR="00F91C7E" w:rsidRPr="004A7EFC">
        <w:rPr>
          <w:rFonts w:eastAsia="Times New Roman" w:cs="Times New Roman"/>
          <w:lang w:val="fr-FR"/>
        </w:rPr>
        <w:t>»</w:t>
      </w:r>
      <w:r w:rsidRPr="004A7EFC">
        <w:rPr>
          <w:rFonts w:eastAsia="Times New Roman" w:cs="Times New Roman"/>
          <w:lang w:val="fr-FR"/>
        </w:rPr>
        <w:t xml:space="preserve"> et de ses implications, afin de s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>assurer que les organismes de l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>ONU s</w:t>
      </w:r>
      <w:r w:rsidR="001148C8">
        <w:rPr>
          <w:rFonts w:eastAsia="Times New Roman" w:cs="Times New Roman"/>
          <w:lang w:val="fr-FR"/>
        </w:rPr>
        <w:t>’</w:t>
      </w:r>
      <w:r w:rsidRPr="004A7EFC">
        <w:rPr>
          <w:rFonts w:eastAsia="Times New Roman" w:cs="Times New Roman"/>
          <w:lang w:val="fr-FR"/>
        </w:rPr>
        <w:t>accordent sur un vocabulaire commun.</w:t>
      </w:r>
    </w:p>
    <w:p w14:paraId="4B937E1F" w14:textId="79778EBB" w:rsidR="0037222D" w:rsidRPr="004A7EFC" w:rsidRDefault="005267B4" w:rsidP="0043120D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proofErr w:type="spellStart"/>
      <w:r w:rsidRPr="004A7EFC">
        <w:rPr>
          <w:rFonts w:eastAsia="Verdana" w:cs="Verdana"/>
          <w:lang w:val="en-CH" w:eastAsia="zh-TW"/>
        </w:rPr>
        <w:t>Voir</w:t>
      </w:r>
      <w:proofErr w:type="spellEnd"/>
      <w:r w:rsidRPr="004A7EFC">
        <w:rPr>
          <w:rFonts w:eastAsia="Verdana" w:cs="Verdana"/>
          <w:lang w:val="en-CH" w:eastAsia="zh-TW"/>
        </w:rPr>
        <w:t xml:space="preserve"> l</w:t>
      </w:r>
      <w:r w:rsidR="001148C8">
        <w:rPr>
          <w:rFonts w:eastAsia="Verdana" w:cs="Verdana"/>
          <w:lang w:val="en-CH" w:eastAsia="zh-TW"/>
        </w:rPr>
        <w:t>’</w:t>
      </w:r>
      <w:hyperlink w:anchor="Annexe_decision" w:history="1">
        <w:proofErr w:type="spellStart"/>
        <w:r w:rsidRPr="004A7EFC">
          <w:rPr>
            <w:rStyle w:val="Hyperlink"/>
            <w:rFonts w:eastAsia="Verdana" w:cs="Verdana"/>
            <w:lang w:val="fr-FR" w:eastAsia="zh-TW"/>
          </w:rPr>
          <w:t>annex</w:t>
        </w:r>
        <w:proofErr w:type="spellEnd"/>
        <w:r w:rsidRPr="004A7EFC">
          <w:rPr>
            <w:rStyle w:val="Hyperlink"/>
            <w:rFonts w:eastAsia="Verdana" w:cs="Verdana"/>
            <w:lang w:val="en-CH" w:eastAsia="zh-TW"/>
          </w:rPr>
          <w:t>e</w:t>
        </w:r>
      </w:hyperlink>
      <w:r w:rsidRPr="004A7EFC">
        <w:rPr>
          <w:rFonts w:eastAsia="Verdana" w:cs="Verdana"/>
          <w:lang w:val="fr-FR" w:eastAsia="zh-TW"/>
        </w:rPr>
        <w:t xml:space="preserve"> de la présente décision</w:t>
      </w:r>
      <w:r w:rsidR="0043120D" w:rsidRPr="004A7EFC">
        <w:rPr>
          <w:rFonts w:eastAsia="Verdana" w:cs="Verdana"/>
          <w:lang w:val="fr-FR" w:eastAsia="zh-TW"/>
        </w:rPr>
        <w:t xml:space="preserve"> et </w:t>
      </w:r>
      <w:r w:rsidRPr="004A7EFC">
        <w:rPr>
          <w:lang w:val="fr-FR"/>
        </w:rPr>
        <w:t xml:space="preserve">le document </w:t>
      </w:r>
      <w:hyperlink r:id="rId12" w:history="1">
        <w:r w:rsidR="00F21B41" w:rsidRPr="004A7EFC">
          <w:rPr>
            <w:rStyle w:val="Hyperlink"/>
            <w:lang w:val="fr-FR"/>
          </w:rPr>
          <w:t>SERCOM-</w:t>
        </w:r>
        <w:r w:rsidR="00250A6B" w:rsidRPr="004A7EFC">
          <w:rPr>
            <w:rStyle w:val="Hyperlink"/>
            <w:lang w:val="fr-FR"/>
          </w:rPr>
          <w:t>3</w:t>
        </w:r>
        <w:r w:rsidR="00F21B41" w:rsidRPr="004A7EFC">
          <w:rPr>
            <w:rStyle w:val="Hyperlink"/>
            <w:lang w:val="fr-FR"/>
          </w:rPr>
          <w:t>/</w:t>
        </w:r>
        <w:r w:rsidR="0037222D" w:rsidRPr="004A7EFC">
          <w:rPr>
            <w:rStyle w:val="Hyperlink"/>
            <w:lang w:val="fr-FR"/>
          </w:rPr>
          <w:t xml:space="preserve">INF. </w:t>
        </w:r>
        <w:r w:rsidR="00CB6C40">
          <w:rPr>
            <w:rStyle w:val="Hyperlink"/>
            <w:lang w:val="fr-FR"/>
          </w:rPr>
          <w:t>4.7(2)</w:t>
        </w:r>
      </w:hyperlink>
      <w:r w:rsidR="0037222D" w:rsidRPr="004A7EFC">
        <w:rPr>
          <w:rStyle w:val="Hyperlink"/>
          <w:lang w:val="fr-FR"/>
        </w:rPr>
        <w:t xml:space="preserve"> </w:t>
      </w:r>
      <w:r w:rsidR="00854ABB" w:rsidRPr="004A7EFC">
        <w:rPr>
          <w:lang w:val="fr-FR"/>
        </w:rPr>
        <w:t>pour de plus amples renseignements.</w:t>
      </w:r>
    </w:p>
    <w:p w14:paraId="745A4878" w14:textId="77777777" w:rsidR="0037222D" w:rsidRPr="004A7EFC" w:rsidRDefault="0037222D" w:rsidP="0037222D">
      <w:pPr>
        <w:pStyle w:val="WMOBodyText"/>
        <w:rPr>
          <w:lang w:val="fr-FR"/>
        </w:rPr>
      </w:pPr>
      <w:r w:rsidRPr="004A7EFC">
        <w:rPr>
          <w:lang w:val="fr-FR"/>
        </w:rPr>
        <w:t>_______</w:t>
      </w:r>
    </w:p>
    <w:p w14:paraId="6E695E44" w14:textId="2F1D3260" w:rsidR="000244F7" w:rsidRPr="004A7EFC" w:rsidRDefault="00442C11" w:rsidP="000244F7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A7EFC">
        <w:rPr>
          <w:rFonts w:eastAsia="Verdana" w:cs="Verdana"/>
          <w:lang w:val="en-CH" w:eastAsia="zh-TW"/>
        </w:rPr>
        <w:t xml:space="preserve">Justification de la </w:t>
      </w:r>
      <w:proofErr w:type="spellStart"/>
      <w:r w:rsidRPr="004A7EFC">
        <w:rPr>
          <w:rFonts w:eastAsia="Verdana" w:cs="Verdana"/>
          <w:lang w:val="en-CH" w:eastAsia="zh-TW"/>
        </w:rPr>
        <w:t>décision</w:t>
      </w:r>
      <w:proofErr w:type="spellEnd"/>
      <w:r w:rsidRPr="004A7EFC">
        <w:rPr>
          <w:rFonts w:eastAsia="Verdana" w:cs="Verdana"/>
          <w:lang w:val="fr-FR" w:eastAsia="zh-TW"/>
        </w:rPr>
        <w:t>:</w:t>
      </w:r>
    </w:p>
    <w:p w14:paraId="5B52484B" w14:textId="6CE28ECB" w:rsidR="000244F7" w:rsidRPr="004A7EFC" w:rsidRDefault="005D17A6" w:rsidP="00D07524">
      <w:pPr>
        <w:pStyle w:val="WMOBodyText"/>
        <w:numPr>
          <w:ilvl w:val="0"/>
          <w:numId w:val="48"/>
        </w:numPr>
        <w:ind w:left="567" w:hanging="567"/>
        <w:rPr>
          <w:color w:val="242424"/>
          <w:lang w:val="fr-FR"/>
        </w:rPr>
      </w:pPr>
      <w:r w:rsidRPr="004A7EFC">
        <w:rPr>
          <w:lang w:val="fr-FR"/>
        </w:rPr>
        <w:t xml:space="preserve">Au titre de </w:t>
      </w:r>
      <w:r w:rsidR="00E161BF" w:rsidRPr="004A7EFC">
        <w:rPr>
          <w:lang w:val="fr-FR"/>
        </w:rPr>
        <w:t>l</w:t>
      </w:r>
      <w:r w:rsidR="001148C8">
        <w:rPr>
          <w:lang w:val="fr-FR"/>
        </w:rPr>
        <w:t>’</w:t>
      </w:r>
      <w:hyperlink r:id="rId13" w:history="1">
        <w:r w:rsidRPr="004A7EFC">
          <w:rPr>
            <w:rStyle w:val="Hyperlink"/>
            <w:lang w:val="fr-FR" w:eastAsia="en-US"/>
          </w:rPr>
          <w:t>article 2</w:t>
        </w:r>
        <w:r w:rsidR="00E161BF" w:rsidRPr="004A7EFC">
          <w:rPr>
            <w:rStyle w:val="Hyperlink"/>
            <w:lang w:val="fr-FR" w:eastAsia="en-US"/>
          </w:rPr>
          <w:t>, alinéa d</w:t>
        </w:r>
        <w:r w:rsidR="00C33648" w:rsidRPr="004A7EFC">
          <w:rPr>
            <w:rStyle w:val="Hyperlink"/>
            <w:lang w:val="fr-FR" w:eastAsia="en-US"/>
          </w:rPr>
          <w:t>)</w:t>
        </w:r>
      </w:hyperlink>
      <w:r w:rsidR="00E161BF" w:rsidRPr="004A7EFC">
        <w:rPr>
          <w:lang w:val="fr-FR" w:eastAsia="en-US"/>
        </w:rPr>
        <w:t>,</w:t>
      </w:r>
      <w:r w:rsidRPr="004A7EFC">
        <w:rPr>
          <w:rStyle w:val="Hyperlink"/>
          <w:lang w:val="fr-FR" w:eastAsia="en-US"/>
        </w:rPr>
        <w:t xml:space="preserve"> </w:t>
      </w:r>
      <w:r w:rsidRPr="004A7EFC">
        <w:rPr>
          <w:rStyle w:val="Hyperlink"/>
          <w:color w:val="auto"/>
          <w:lang w:val="fr-FR" w:eastAsia="en-US"/>
        </w:rPr>
        <w:t xml:space="preserve">de la </w:t>
      </w:r>
      <w:r w:rsidRPr="004A7EFC">
        <w:rPr>
          <w:lang w:val="fr-FR" w:eastAsia="en-US"/>
        </w:rPr>
        <w:t>Convention de l</w:t>
      </w:r>
      <w:r w:rsidR="001148C8">
        <w:rPr>
          <w:lang w:val="fr-FR" w:eastAsia="en-US"/>
        </w:rPr>
        <w:t>’</w:t>
      </w:r>
      <w:r w:rsidRPr="004A7EFC">
        <w:rPr>
          <w:lang w:val="fr-FR" w:eastAsia="en-US"/>
        </w:rPr>
        <w:t>OMM</w:t>
      </w:r>
      <w:r w:rsidRPr="004A7EFC">
        <w:rPr>
          <w:lang w:val="fr-FR"/>
        </w:rPr>
        <w:t xml:space="preserve"> (</w:t>
      </w:r>
      <w:hyperlink r:id="rId14" w:history="1">
        <w:r w:rsidR="00972492" w:rsidRPr="004A7EFC">
          <w:rPr>
            <w:rStyle w:val="Hyperlink"/>
            <w:i/>
            <w:iCs/>
            <w:lang w:val="fr-FR" w:eastAsia="en-US"/>
          </w:rPr>
          <w:t>Recueil des documents fondamentaux N° 1</w:t>
        </w:r>
      </w:hyperlink>
      <w:r w:rsidR="000244F7" w:rsidRPr="004A7EFC">
        <w:rPr>
          <w:lang w:val="fr-FR" w:eastAsia="en-US"/>
        </w:rPr>
        <w:t xml:space="preserve"> (O</w:t>
      </w:r>
      <w:r w:rsidR="00972492" w:rsidRPr="004A7EFC">
        <w:rPr>
          <w:lang w:val="fr-FR" w:eastAsia="en-US"/>
        </w:rPr>
        <w:t>MM</w:t>
      </w:r>
      <w:r w:rsidR="000244F7" w:rsidRPr="004A7EFC">
        <w:rPr>
          <w:lang w:val="fr-FR" w:eastAsia="en-US"/>
        </w:rPr>
        <w:t>-N</w:t>
      </w:r>
      <w:r w:rsidR="00972492" w:rsidRPr="004A7EFC">
        <w:rPr>
          <w:lang w:val="fr-FR" w:eastAsia="en-US"/>
        </w:rPr>
        <w:t>°</w:t>
      </w:r>
      <w:r w:rsidR="000244F7" w:rsidRPr="004A7EFC">
        <w:rPr>
          <w:lang w:val="fr-FR" w:eastAsia="en-US"/>
        </w:rPr>
        <w:t> 15)</w:t>
      </w:r>
      <w:r w:rsidRPr="004A7EFC">
        <w:rPr>
          <w:lang w:val="fr-FR" w:eastAsia="en-US"/>
        </w:rPr>
        <w:t>)</w:t>
      </w:r>
      <w:r w:rsidR="00E161BF" w:rsidRPr="004A7EFC">
        <w:rPr>
          <w:lang w:val="fr-FR" w:eastAsia="en-US"/>
        </w:rPr>
        <w:t>, l</w:t>
      </w:r>
      <w:r w:rsidR="001148C8">
        <w:rPr>
          <w:lang w:val="fr-FR" w:eastAsia="en-US"/>
        </w:rPr>
        <w:t>’</w:t>
      </w:r>
      <w:r w:rsidR="00E161BF" w:rsidRPr="004A7EFC">
        <w:rPr>
          <w:lang w:val="fr-FR" w:eastAsia="en-US"/>
        </w:rPr>
        <w:t>un des buts de l</w:t>
      </w:r>
      <w:r w:rsidR="001148C8">
        <w:rPr>
          <w:lang w:val="fr-FR" w:eastAsia="en-US"/>
        </w:rPr>
        <w:t>’</w:t>
      </w:r>
      <w:r w:rsidR="000244F7" w:rsidRPr="004A7EFC">
        <w:rPr>
          <w:lang w:val="fr-FR" w:eastAsia="en-US"/>
        </w:rPr>
        <w:t>Organi</w:t>
      </w:r>
      <w:r w:rsidR="00E161BF" w:rsidRPr="004A7EFC">
        <w:rPr>
          <w:lang w:val="fr-FR" w:eastAsia="en-US"/>
        </w:rPr>
        <w:t>s</w:t>
      </w:r>
      <w:r w:rsidR="000244F7" w:rsidRPr="004A7EFC">
        <w:rPr>
          <w:lang w:val="fr-FR" w:eastAsia="en-US"/>
        </w:rPr>
        <w:t xml:space="preserve">ation </w:t>
      </w:r>
      <w:r w:rsidR="00E161BF" w:rsidRPr="004A7EFC">
        <w:rPr>
          <w:lang w:val="fr-FR" w:eastAsia="en-US"/>
        </w:rPr>
        <w:t>est</w:t>
      </w:r>
      <w:r w:rsidR="000244F7" w:rsidRPr="004A7EFC">
        <w:rPr>
          <w:lang w:val="fr-FR" w:eastAsia="en-US"/>
        </w:rPr>
        <w:t xml:space="preserve"> </w:t>
      </w:r>
      <w:r w:rsidR="00E161BF" w:rsidRPr="004A7EFC">
        <w:rPr>
          <w:lang w:val="fr-FR" w:eastAsia="en-US"/>
        </w:rPr>
        <w:t>d</w:t>
      </w:r>
      <w:r w:rsidR="001148C8">
        <w:rPr>
          <w:lang w:val="fr-FR" w:eastAsia="en-US"/>
        </w:rPr>
        <w:t>’</w:t>
      </w:r>
      <w:r w:rsidR="00E161BF" w:rsidRPr="004A7EFC">
        <w:rPr>
          <w:lang w:val="fr-FR" w:eastAsia="en-US"/>
        </w:rPr>
        <w:t>«</w:t>
      </w:r>
      <w:r w:rsidR="003C1531" w:rsidRPr="004A7EFC">
        <w:rPr>
          <w:color w:val="242424"/>
          <w:lang w:val="fr-FR"/>
        </w:rPr>
        <w:t>[e]</w:t>
      </w:r>
      <w:proofErr w:type="spellStart"/>
      <w:r w:rsidR="00D07524" w:rsidRPr="004A7EFC">
        <w:rPr>
          <w:color w:val="242424"/>
          <w:lang w:val="fr-FR"/>
        </w:rPr>
        <w:t>ncourager</w:t>
      </w:r>
      <w:proofErr w:type="spellEnd"/>
      <w:r w:rsidR="00D07524" w:rsidRPr="004A7EFC">
        <w:rPr>
          <w:color w:val="242424"/>
          <w:lang w:val="fr-FR"/>
        </w:rPr>
        <w:t xml:space="preserve"> les applications de la </w:t>
      </w:r>
      <w:r w:rsidR="00D07524" w:rsidRPr="004A7EFC">
        <w:rPr>
          <w:b/>
          <w:bCs/>
          <w:color w:val="242424"/>
          <w:lang w:val="fr-FR"/>
        </w:rPr>
        <w:t>météorologie</w:t>
      </w:r>
      <w:r w:rsidR="00D07524" w:rsidRPr="004A7EFC">
        <w:rPr>
          <w:color w:val="242424"/>
          <w:lang w:val="fr-FR"/>
        </w:rPr>
        <w:t xml:space="preserve"> à l</w:t>
      </w:r>
      <w:r w:rsidR="001148C8">
        <w:rPr>
          <w:color w:val="242424"/>
          <w:lang w:val="fr-FR"/>
        </w:rPr>
        <w:t>’</w:t>
      </w:r>
      <w:r w:rsidR="00D07524" w:rsidRPr="004A7EFC">
        <w:rPr>
          <w:color w:val="242424"/>
          <w:lang w:val="fr-FR"/>
        </w:rPr>
        <w:t>aviation, à la navigation maritime, aux problèmes de l</w:t>
      </w:r>
      <w:r w:rsidR="001148C8">
        <w:rPr>
          <w:color w:val="242424"/>
          <w:lang w:val="fr-FR"/>
        </w:rPr>
        <w:t>’</w:t>
      </w:r>
      <w:r w:rsidR="00D07524" w:rsidRPr="004A7EFC">
        <w:rPr>
          <w:color w:val="242424"/>
          <w:lang w:val="fr-FR"/>
        </w:rPr>
        <w:t>eau, à l</w:t>
      </w:r>
      <w:r w:rsidR="001148C8">
        <w:rPr>
          <w:color w:val="242424"/>
          <w:lang w:val="fr-FR"/>
        </w:rPr>
        <w:t>’</w:t>
      </w:r>
      <w:r w:rsidR="00D07524" w:rsidRPr="004A7EFC">
        <w:rPr>
          <w:color w:val="242424"/>
          <w:lang w:val="fr-FR"/>
        </w:rPr>
        <w:t>agriculture et à d</w:t>
      </w:r>
      <w:r w:rsidR="001148C8">
        <w:rPr>
          <w:color w:val="242424"/>
          <w:lang w:val="fr-FR"/>
        </w:rPr>
        <w:t>’</w:t>
      </w:r>
      <w:r w:rsidR="00D07524" w:rsidRPr="004A7EFC">
        <w:rPr>
          <w:color w:val="242424"/>
          <w:lang w:val="fr-FR"/>
        </w:rPr>
        <w:t>autres activités humaines</w:t>
      </w:r>
      <w:r w:rsidR="00E161BF" w:rsidRPr="004A7EFC">
        <w:rPr>
          <w:color w:val="242424"/>
          <w:lang w:val="fr-FR"/>
        </w:rPr>
        <w:t>»</w:t>
      </w:r>
      <w:r w:rsidR="000244F7" w:rsidRPr="004A7EFC">
        <w:rPr>
          <w:color w:val="242424"/>
          <w:lang w:val="fr-FR"/>
        </w:rPr>
        <w:t>;</w:t>
      </w:r>
    </w:p>
    <w:p w14:paraId="7EAC4D2B" w14:textId="1B717CFB" w:rsidR="000244F7" w:rsidRPr="004A7EFC" w:rsidRDefault="00000000" w:rsidP="00F55EF0">
      <w:pPr>
        <w:pStyle w:val="WMOBodyText"/>
        <w:numPr>
          <w:ilvl w:val="0"/>
          <w:numId w:val="48"/>
        </w:numPr>
        <w:ind w:left="567" w:hanging="567"/>
        <w:rPr>
          <w:lang w:val="fr-FR" w:eastAsia="en-US"/>
        </w:rPr>
      </w:pPr>
      <w:hyperlink r:id="rId15">
        <w:r w:rsidR="000244F7" w:rsidRPr="004A7EFC">
          <w:rPr>
            <w:rStyle w:val="Hyperlink"/>
            <w:lang w:val="fr-FR" w:eastAsia="en-US"/>
          </w:rPr>
          <w:t>R</w:t>
        </w:r>
        <w:r w:rsidR="00B9559B" w:rsidRPr="004A7EFC">
          <w:rPr>
            <w:rStyle w:val="Hyperlink"/>
            <w:lang w:val="fr-FR" w:eastAsia="en-US"/>
          </w:rPr>
          <w:t>é</w:t>
        </w:r>
        <w:r w:rsidR="000244F7" w:rsidRPr="004A7EFC">
          <w:rPr>
            <w:rStyle w:val="Hyperlink"/>
            <w:lang w:val="fr-FR" w:eastAsia="en-US"/>
          </w:rPr>
          <w:t>solution 24 (Cg-XVI)</w:t>
        </w:r>
      </w:hyperlink>
      <w:r w:rsidR="00985291" w:rsidRPr="004A7EFC">
        <w:rPr>
          <w:lang w:val="fr-FR" w:eastAsia="en-US"/>
        </w:rPr>
        <w:t>,</w:t>
      </w:r>
      <w:r w:rsidR="00770027" w:rsidRPr="004A7EFC">
        <w:rPr>
          <w:lang w:val="fr-FR" w:eastAsia="en-US"/>
        </w:rPr>
        <w:t xml:space="preserve"> </w:t>
      </w:r>
      <w:r w:rsidR="007749BB" w:rsidRPr="004A7EFC">
        <w:rPr>
          <w:lang w:val="fr-FR" w:eastAsia="en-US"/>
        </w:rPr>
        <w:t xml:space="preserve">au titre de laquelle le Congrès </w:t>
      </w:r>
      <w:r w:rsidR="00F55EF0" w:rsidRPr="004A7EFC">
        <w:rPr>
          <w:lang w:val="fr-FR" w:eastAsia="en-US"/>
        </w:rPr>
        <w:t xml:space="preserve">a </w:t>
      </w:r>
      <w:r w:rsidR="00910609" w:rsidRPr="004A7EFC">
        <w:rPr>
          <w:lang w:val="fr-FR" w:eastAsia="en-US"/>
        </w:rPr>
        <w:t>exhort</w:t>
      </w:r>
      <w:r w:rsidR="00F55EF0" w:rsidRPr="004A7EFC">
        <w:rPr>
          <w:lang w:val="fr-FR" w:eastAsia="en-US"/>
        </w:rPr>
        <w:t>é</w:t>
      </w:r>
      <w:r w:rsidR="00910609" w:rsidRPr="004A7EFC">
        <w:rPr>
          <w:lang w:val="fr-FR" w:eastAsia="en-US"/>
        </w:rPr>
        <w:t xml:space="preserve"> les Membres c</w:t>
      </w:r>
      <w:r w:rsidR="00B67C81" w:rsidRPr="004A7EFC">
        <w:rPr>
          <w:lang w:val="fr-FR" w:eastAsia="en-US"/>
        </w:rPr>
        <w:t>o</w:t>
      </w:r>
      <w:r w:rsidR="00910609" w:rsidRPr="004A7EFC">
        <w:rPr>
          <w:lang w:val="fr-FR" w:eastAsia="en-US"/>
        </w:rPr>
        <w:t>ncernés à s</w:t>
      </w:r>
      <w:r w:rsidR="001148C8">
        <w:rPr>
          <w:lang w:val="fr-FR" w:eastAsia="en-US"/>
        </w:rPr>
        <w:t>’</w:t>
      </w:r>
      <w:r w:rsidR="00910609" w:rsidRPr="004A7EFC">
        <w:rPr>
          <w:lang w:val="fr-FR" w:eastAsia="en-US"/>
        </w:rPr>
        <w:t xml:space="preserve">employer à </w:t>
      </w:r>
      <w:r w:rsidR="00B67C81" w:rsidRPr="004A7EFC">
        <w:rPr>
          <w:lang w:val="fr-FR" w:eastAsia="en-US"/>
        </w:rPr>
        <w:t>«</w:t>
      </w:r>
      <w:r w:rsidR="003C1531" w:rsidRPr="004A7EFC">
        <w:rPr>
          <w:lang w:val="fr-FR" w:eastAsia="en-US"/>
        </w:rPr>
        <w:t>[</w:t>
      </w:r>
      <w:r w:rsidR="00B67C81" w:rsidRPr="004A7EFC">
        <w:rPr>
          <w:lang w:val="fr-FR" w:eastAsia="en-US"/>
        </w:rPr>
        <w:t>a</w:t>
      </w:r>
      <w:r w:rsidR="003C1531" w:rsidRPr="004A7EFC">
        <w:rPr>
          <w:lang w:val="fr-FR" w:eastAsia="en-US"/>
        </w:rPr>
        <w:t>]</w:t>
      </w:r>
      <w:proofErr w:type="spellStart"/>
      <w:r w:rsidR="00B67C81" w:rsidRPr="004A7EFC">
        <w:rPr>
          <w:lang w:val="fr-FR" w:eastAsia="en-US"/>
        </w:rPr>
        <w:t>ppuyer</w:t>
      </w:r>
      <w:proofErr w:type="spellEnd"/>
      <w:r w:rsidR="00B67C81" w:rsidRPr="004A7EFC">
        <w:rPr>
          <w:lang w:val="fr-FR" w:eastAsia="en-US"/>
        </w:rPr>
        <w:t xml:space="preserve"> une action coordonnée pour développer et améliorer la capacité de prévision et la prestation de services en vue de réduire les risques côtiers, notamment lors de phénomènes extrêmes (</w:t>
      </w:r>
      <w:r w:rsidR="00B67C81" w:rsidRPr="004A7EFC">
        <w:rPr>
          <w:b/>
          <w:bCs/>
          <w:lang w:val="fr-FR" w:eastAsia="en-US"/>
        </w:rPr>
        <w:t>tels que les ondes de tempête et les vagues exceptionnellement hautes et/ou longues</w:t>
      </w:r>
      <w:r w:rsidR="00B67C81" w:rsidRPr="004A7EFC">
        <w:rPr>
          <w:lang w:val="fr-FR" w:eastAsia="en-US"/>
        </w:rPr>
        <w:t>)</w:t>
      </w:r>
      <w:r w:rsidR="00A508F7" w:rsidRPr="004A7EFC">
        <w:rPr>
          <w:lang w:val="fr-FR" w:eastAsia="en-US"/>
        </w:rPr>
        <w:t>»</w:t>
      </w:r>
      <w:r w:rsidR="000244F7" w:rsidRPr="004A7EFC">
        <w:rPr>
          <w:color w:val="242424"/>
          <w:lang w:val="fr-FR"/>
        </w:rPr>
        <w:t>,</w:t>
      </w:r>
    </w:p>
    <w:p w14:paraId="3319685A" w14:textId="5AF69B13" w:rsidR="000244F7" w:rsidRPr="004A7EFC" w:rsidRDefault="00000000" w:rsidP="000244F7">
      <w:pPr>
        <w:pStyle w:val="WMOBodyText"/>
        <w:numPr>
          <w:ilvl w:val="0"/>
          <w:numId w:val="48"/>
        </w:numPr>
        <w:ind w:left="567" w:hanging="567"/>
        <w:rPr>
          <w:rFonts w:eastAsia="Arial" w:cs="Arial"/>
          <w:lang w:val="fr-FR" w:eastAsia="en-US"/>
        </w:rPr>
      </w:pPr>
      <w:hyperlink r:id="rId16" w:history="1">
        <w:r w:rsidR="000244F7" w:rsidRPr="004A7EFC">
          <w:rPr>
            <w:rStyle w:val="Hyperlink"/>
            <w:lang w:val="fr-FR"/>
          </w:rPr>
          <w:t>R</w:t>
        </w:r>
        <w:r w:rsidR="00B9559B" w:rsidRPr="004A7EFC">
          <w:rPr>
            <w:rStyle w:val="Hyperlink"/>
            <w:lang w:val="fr-FR"/>
          </w:rPr>
          <w:t>é</w:t>
        </w:r>
        <w:r w:rsidR="000244F7" w:rsidRPr="004A7EFC">
          <w:rPr>
            <w:rStyle w:val="Hyperlink"/>
            <w:lang w:val="fr-FR"/>
          </w:rPr>
          <w:t>solution 1 (SERCOM-1)</w:t>
        </w:r>
      </w:hyperlink>
      <w:r w:rsidR="000244F7" w:rsidRPr="004A7EFC">
        <w:rPr>
          <w:lang w:val="fr-FR"/>
        </w:rPr>
        <w:t xml:space="preserve"> – </w:t>
      </w:r>
      <w:r w:rsidR="000C6943" w:rsidRPr="004A7EFC">
        <w:rPr>
          <w:lang w:val="fr-FR"/>
        </w:rPr>
        <w:t>Création de comités permanents et de groupes d</w:t>
      </w:r>
      <w:r w:rsidR="001148C8">
        <w:rPr>
          <w:lang w:val="fr-FR"/>
        </w:rPr>
        <w:t>’</w:t>
      </w:r>
      <w:r w:rsidR="000C6943" w:rsidRPr="004A7EFC">
        <w:rPr>
          <w:lang w:val="fr-FR"/>
        </w:rPr>
        <w:t>étude relevant de la Commission des services et applications se rapportant au temps, au climat, à l</w:t>
      </w:r>
      <w:r w:rsidR="001148C8">
        <w:rPr>
          <w:lang w:val="fr-FR"/>
        </w:rPr>
        <w:t>’</w:t>
      </w:r>
      <w:r w:rsidR="000C6943" w:rsidRPr="004A7EFC">
        <w:rPr>
          <w:lang w:val="fr-FR"/>
        </w:rPr>
        <w:t>eau et à l</w:t>
      </w:r>
      <w:r w:rsidR="001148C8">
        <w:rPr>
          <w:lang w:val="fr-FR"/>
        </w:rPr>
        <w:t>’</w:t>
      </w:r>
      <w:r w:rsidR="000C6943" w:rsidRPr="004A7EFC">
        <w:rPr>
          <w:lang w:val="fr-FR"/>
        </w:rPr>
        <w:t>environnement (Commission des services)</w:t>
      </w:r>
      <w:r w:rsidR="000244F7" w:rsidRPr="004A7EFC">
        <w:rPr>
          <w:lang w:val="fr-FR"/>
        </w:rPr>
        <w:t>,</w:t>
      </w:r>
    </w:p>
    <w:p w14:paraId="70C516BD" w14:textId="1806C567" w:rsidR="000244F7" w:rsidRPr="004A7EFC" w:rsidRDefault="00000000" w:rsidP="000244F7">
      <w:pPr>
        <w:pStyle w:val="WMOBodyText"/>
        <w:numPr>
          <w:ilvl w:val="0"/>
          <w:numId w:val="48"/>
        </w:numPr>
        <w:ind w:left="567" w:hanging="567"/>
        <w:rPr>
          <w:lang w:val="fr-FR" w:eastAsia="en-US"/>
        </w:rPr>
      </w:pPr>
      <w:hyperlink r:id="rId17">
        <w:r w:rsidR="000244F7" w:rsidRPr="004A7EFC">
          <w:rPr>
            <w:rStyle w:val="Hyperlink"/>
            <w:lang w:val="fr-FR" w:eastAsia="en-US"/>
          </w:rPr>
          <w:t>R</w:t>
        </w:r>
        <w:r w:rsidR="00B9559B" w:rsidRPr="004A7EFC">
          <w:rPr>
            <w:rStyle w:val="Hyperlink"/>
            <w:lang w:val="fr-FR" w:eastAsia="en-US"/>
          </w:rPr>
          <w:t>é</w:t>
        </w:r>
        <w:r w:rsidR="000244F7" w:rsidRPr="004A7EFC">
          <w:rPr>
            <w:rStyle w:val="Hyperlink"/>
            <w:lang w:val="fr-FR" w:eastAsia="en-US"/>
          </w:rPr>
          <w:t>solution 2 (Cg-19)</w:t>
        </w:r>
      </w:hyperlink>
      <w:r w:rsidR="000244F7" w:rsidRPr="004A7EFC">
        <w:rPr>
          <w:rStyle w:val="Hyperlink"/>
          <w:color w:val="auto"/>
          <w:lang w:val="fr-FR" w:eastAsia="en-US"/>
        </w:rPr>
        <w:t xml:space="preserve"> </w:t>
      </w:r>
      <w:r w:rsidR="00B41980">
        <w:rPr>
          <w:rStyle w:val="Hyperlink"/>
          <w:color w:val="auto"/>
          <w:lang w:val="fr-FR" w:eastAsia="en-US"/>
        </w:rPr>
        <w:t>–</w:t>
      </w:r>
      <w:r w:rsidR="000244F7" w:rsidRPr="004A7EFC">
        <w:rPr>
          <w:rStyle w:val="Hyperlink"/>
          <w:color w:val="auto"/>
          <w:lang w:val="fr-FR" w:eastAsia="en-US"/>
        </w:rPr>
        <w:t xml:space="preserve"> </w:t>
      </w:r>
      <w:r w:rsidR="00757166" w:rsidRPr="004A7EFC">
        <w:rPr>
          <w:lang w:val="fr-FR" w:eastAsia="en-US"/>
        </w:rPr>
        <w:t>Plan stratégique de l</w:t>
      </w:r>
      <w:r w:rsidR="001148C8">
        <w:rPr>
          <w:lang w:val="fr-FR" w:eastAsia="en-US"/>
        </w:rPr>
        <w:t>’</w:t>
      </w:r>
      <w:r w:rsidR="00757166" w:rsidRPr="004A7EFC">
        <w:rPr>
          <w:lang w:val="fr-FR" w:eastAsia="en-US"/>
        </w:rPr>
        <w:t>OMM pour la période 2024-2027</w:t>
      </w:r>
      <w:r w:rsidR="000244F7" w:rsidRPr="004A7EFC">
        <w:rPr>
          <w:rStyle w:val="Hyperlink"/>
          <w:lang w:val="fr-FR" w:eastAsia="en-US"/>
        </w:rPr>
        <w:t>:</w:t>
      </w:r>
    </w:p>
    <w:p w14:paraId="54064CE4" w14:textId="2456A5A6" w:rsidR="000244F7" w:rsidRPr="004A7EFC" w:rsidRDefault="000244F7" w:rsidP="00B51182">
      <w:pPr>
        <w:pStyle w:val="WMOBodyText"/>
        <w:numPr>
          <w:ilvl w:val="1"/>
          <w:numId w:val="49"/>
        </w:numPr>
        <w:ind w:left="1134" w:hanging="567"/>
        <w:rPr>
          <w:lang w:val="fr-FR" w:eastAsia="en-US"/>
        </w:rPr>
      </w:pPr>
      <w:r w:rsidRPr="004A7EFC">
        <w:rPr>
          <w:lang w:val="fr-FR" w:eastAsia="en-US"/>
        </w:rPr>
        <w:t>Appro</w:t>
      </w:r>
      <w:r w:rsidR="00757166" w:rsidRPr="004A7EFC">
        <w:rPr>
          <w:lang w:val="fr-FR" w:eastAsia="en-US"/>
        </w:rPr>
        <w:t xml:space="preserve">bation du </w:t>
      </w:r>
      <w:r w:rsidRPr="004A7EFC">
        <w:rPr>
          <w:lang w:val="fr-FR" w:eastAsia="en-US"/>
        </w:rPr>
        <w:t xml:space="preserve">Plan </w:t>
      </w:r>
      <w:r w:rsidR="00757166" w:rsidRPr="004A7EFC">
        <w:rPr>
          <w:lang w:val="fr-FR" w:eastAsia="en-US"/>
        </w:rPr>
        <w:t>stratégique de l</w:t>
      </w:r>
      <w:r w:rsidR="001148C8">
        <w:rPr>
          <w:lang w:val="fr-FR" w:eastAsia="en-US"/>
        </w:rPr>
        <w:t>’</w:t>
      </w:r>
      <w:r w:rsidR="00757166" w:rsidRPr="004A7EFC">
        <w:rPr>
          <w:lang w:val="fr-FR" w:eastAsia="en-US"/>
        </w:rPr>
        <w:t xml:space="preserve">OMM pour la période 2024-2027 </w:t>
      </w:r>
      <w:r w:rsidRPr="004A7EFC">
        <w:rPr>
          <w:lang w:val="fr-FR" w:eastAsia="en-US"/>
        </w:rPr>
        <w:t>(</w:t>
      </w:r>
      <w:hyperlink r:id="rId18">
        <w:r w:rsidR="00343BCC" w:rsidRPr="004A7EFC">
          <w:rPr>
            <w:rStyle w:val="Hyperlink"/>
            <w:lang w:val="fr-FR" w:eastAsia="en-US"/>
          </w:rPr>
          <w:t>But</w:t>
        </w:r>
        <w:r w:rsidRPr="004A7EFC">
          <w:rPr>
            <w:rStyle w:val="Hyperlink"/>
            <w:lang w:val="fr-FR" w:eastAsia="en-US"/>
          </w:rPr>
          <w:t xml:space="preserve"> 1: Objecti</w:t>
        </w:r>
        <w:r w:rsidR="00343BCC" w:rsidRPr="004A7EFC">
          <w:rPr>
            <w:rStyle w:val="Hyperlink"/>
            <w:lang w:val="fr-FR" w:eastAsia="en-US"/>
          </w:rPr>
          <w:t>f</w:t>
        </w:r>
        <w:r w:rsidRPr="004A7EFC">
          <w:rPr>
            <w:rStyle w:val="Hyperlink"/>
            <w:lang w:val="fr-FR" w:eastAsia="en-US"/>
          </w:rPr>
          <w:t xml:space="preserve"> 1.4</w:t>
        </w:r>
      </w:hyperlink>
      <w:r w:rsidRPr="004A7EFC">
        <w:rPr>
          <w:rStyle w:val="Hyperlink"/>
          <w:lang w:val="fr-FR" w:eastAsia="en-US"/>
        </w:rPr>
        <w:t xml:space="preserve"> </w:t>
      </w:r>
      <w:r w:rsidRPr="004A7EFC">
        <w:rPr>
          <w:lang w:val="fr-FR" w:eastAsia="en-US"/>
        </w:rPr>
        <w:t xml:space="preserve">– </w:t>
      </w:r>
      <w:r w:rsidR="007B16A8" w:rsidRPr="004A7EFC">
        <w:rPr>
          <w:lang w:val="fr-FR" w:eastAsia="en-US"/>
        </w:rPr>
        <w:t>Accroître la valeur des informations et services météorologiques d</w:t>
      </w:r>
      <w:r w:rsidR="001148C8">
        <w:rPr>
          <w:lang w:val="fr-FR" w:eastAsia="en-US"/>
        </w:rPr>
        <w:t>’</w:t>
      </w:r>
      <w:r w:rsidR="007B16A8" w:rsidRPr="004A7EFC">
        <w:rPr>
          <w:lang w:val="fr-FR" w:eastAsia="en-US"/>
        </w:rPr>
        <w:t>aide à la décision et innover dans ce domaine</w:t>
      </w:r>
      <w:r w:rsidRPr="004A7EFC">
        <w:rPr>
          <w:lang w:val="fr-FR" w:eastAsia="en-US"/>
        </w:rPr>
        <w:t>),</w:t>
      </w:r>
    </w:p>
    <w:p w14:paraId="10C0A6F7" w14:textId="048F7EBE" w:rsidR="000244F7" w:rsidRPr="004A7EFC" w:rsidRDefault="00CF7EC6" w:rsidP="000244F7">
      <w:pPr>
        <w:pStyle w:val="WMOBodyText"/>
        <w:numPr>
          <w:ilvl w:val="1"/>
          <w:numId w:val="49"/>
        </w:numPr>
        <w:ind w:left="1134" w:hanging="567"/>
        <w:rPr>
          <w:color w:val="242424"/>
          <w:lang w:val="fr-FR"/>
        </w:rPr>
      </w:pPr>
      <w:r w:rsidRPr="004A7EFC">
        <w:rPr>
          <w:color w:val="242424"/>
          <w:lang w:val="fr-FR"/>
        </w:rPr>
        <w:t xml:space="preserve">Notre mission: </w:t>
      </w:r>
      <w:r w:rsidR="003C1531" w:rsidRPr="004A7EFC">
        <w:rPr>
          <w:color w:val="242424"/>
          <w:lang w:val="fr-FR"/>
        </w:rPr>
        <w:t>«[L]</w:t>
      </w:r>
      <w:r w:rsidRPr="004A7EFC">
        <w:rPr>
          <w:color w:val="242424"/>
          <w:lang w:val="fr-FR"/>
        </w:rPr>
        <w:t>es États Membres et territoires Membres de l</w:t>
      </w:r>
      <w:r w:rsidR="001148C8">
        <w:rPr>
          <w:color w:val="242424"/>
          <w:lang w:val="fr-FR"/>
        </w:rPr>
        <w:t>’</w:t>
      </w:r>
      <w:r w:rsidRPr="004A7EFC">
        <w:rPr>
          <w:color w:val="242424"/>
          <w:lang w:val="fr-FR"/>
        </w:rPr>
        <w:t>Organisation possèdent et exploitent l</w:t>
      </w:r>
      <w:r w:rsidR="001148C8">
        <w:rPr>
          <w:color w:val="242424"/>
          <w:lang w:val="fr-FR"/>
        </w:rPr>
        <w:t>’</w:t>
      </w:r>
      <w:r w:rsidRPr="004A7EFC">
        <w:rPr>
          <w:color w:val="242424"/>
          <w:lang w:val="fr-FR"/>
        </w:rPr>
        <w:t xml:space="preserve">infrastructure scientifique requise pour offrir des services sur le </w:t>
      </w:r>
      <w:r w:rsidRPr="004A7EFC">
        <w:rPr>
          <w:b/>
          <w:bCs/>
          <w:color w:val="242424"/>
          <w:lang w:val="fr-FR"/>
        </w:rPr>
        <w:t>temps</w:t>
      </w:r>
      <w:r w:rsidRPr="004A7EFC">
        <w:rPr>
          <w:color w:val="242424"/>
          <w:lang w:val="fr-FR"/>
        </w:rPr>
        <w:t>, le climat, l</w:t>
      </w:r>
      <w:r w:rsidR="001148C8">
        <w:rPr>
          <w:color w:val="242424"/>
          <w:lang w:val="fr-FR"/>
        </w:rPr>
        <w:t>’</w:t>
      </w:r>
      <w:r w:rsidRPr="004A7EFC">
        <w:rPr>
          <w:color w:val="242424"/>
          <w:lang w:val="fr-FR"/>
        </w:rPr>
        <w:t>eau et l</w:t>
      </w:r>
      <w:r w:rsidR="001148C8">
        <w:rPr>
          <w:color w:val="242424"/>
          <w:lang w:val="fr-FR"/>
        </w:rPr>
        <w:t>’</w:t>
      </w:r>
      <w:r w:rsidRPr="004A7EFC">
        <w:rPr>
          <w:color w:val="242424"/>
          <w:lang w:val="fr-FR"/>
        </w:rPr>
        <w:t>environnement, par le biais principalement de leur Service météorologique et hydrologique</w:t>
      </w:r>
      <w:r w:rsidR="003C1531" w:rsidRPr="004A7EFC">
        <w:rPr>
          <w:color w:val="242424"/>
          <w:lang w:val="fr-FR"/>
        </w:rPr>
        <w:t>»</w:t>
      </w:r>
      <w:r w:rsidR="00F55EF0" w:rsidRPr="004A7EFC">
        <w:rPr>
          <w:color w:val="242424"/>
          <w:lang w:val="fr-FR"/>
        </w:rPr>
        <w:t>,</w:t>
      </w:r>
    </w:p>
    <w:p w14:paraId="49D206EE" w14:textId="6B16F819" w:rsidR="000244F7" w:rsidRPr="004A7EFC" w:rsidRDefault="00000000" w:rsidP="00123CD9">
      <w:pPr>
        <w:pStyle w:val="WMOBodyText"/>
        <w:numPr>
          <w:ilvl w:val="0"/>
          <w:numId w:val="48"/>
        </w:numPr>
        <w:ind w:left="567" w:hanging="567"/>
        <w:rPr>
          <w:rFonts w:eastAsia="Arial" w:cs="Arial"/>
          <w:lang w:val="fr-FR" w:eastAsia="en-US"/>
        </w:rPr>
      </w:pPr>
      <w:hyperlink r:id="rId19">
        <w:r w:rsidR="000244F7" w:rsidRPr="004A7EFC">
          <w:rPr>
            <w:rStyle w:val="Hyperlink"/>
            <w:rFonts w:eastAsia="Arial" w:cs="Arial"/>
            <w:lang w:val="fr-FR" w:eastAsia="en-US"/>
          </w:rPr>
          <w:t>R</w:t>
        </w:r>
        <w:r w:rsidR="00B9559B" w:rsidRPr="004A7EFC">
          <w:rPr>
            <w:rStyle w:val="Hyperlink"/>
            <w:rFonts w:eastAsia="Arial" w:cs="Arial"/>
            <w:lang w:val="fr-FR" w:eastAsia="en-US"/>
          </w:rPr>
          <w:t>é</w:t>
        </w:r>
        <w:r w:rsidR="000244F7" w:rsidRPr="004A7EFC">
          <w:rPr>
            <w:rStyle w:val="Hyperlink"/>
            <w:rFonts w:eastAsia="Arial" w:cs="Arial"/>
            <w:lang w:val="fr-FR" w:eastAsia="en-US"/>
          </w:rPr>
          <w:t>solution 42 (Cg-19)</w:t>
        </w:r>
      </w:hyperlink>
      <w:r w:rsidR="000244F7" w:rsidRPr="004A7EFC">
        <w:rPr>
          <w:rFonts w:eastAsia="Arial" w:cs="Arial"/>
          <w:lang w:val="fr-FR" w:eastAsia="en-US"/>
        </w:rPr>
        <w:t xml:space="preserve"> – </w:t>
      </w:r>
      <w:r w:rsidR="00F55EF0" w:rsidRPr="004A7EFC">
        <w:rPr>
          <w:rFonts w:eastAsia="Arial" w:cs="Arial"/>
          <w:lang w:val="fr-FR" w:eastAsia="en-US"/>
        </w:rPr>
        <w:t>Commissions techniques et organes additionnels de l</w:t>
      </w:r>
      <w:r w:rsidR="001148C8">
        <w:rPr>
          <w:rFonts w:eastAsia="Arial" w:cs="Arial"/>
          <w:lang w:val="fr-FR" w:eastAsia="en-US"/>
        </w:rPr>
        <w:t>’</w:t>
      </w:r>
      <w:r w:rsidR="00F55EF0" w:rsidRPr="004A7EFC">
        <w:rPr>
          <w:rFonts w:eastAsia="Arial" w:cs="Arial"/>
          <w:lang w:val="fr-FR" w:eastAsia="en-US"/>
        </w:rPr>
        <w:t>OMM pour la dix-neuvième période financière</w:t>
      </w:r>
      <w:r w:rsidR="000244F7" w:rsidRPr="004A7EFC">
        <w:rPr>
          <w:rFonts w:eastAsia="Arial" w:cs="Arial"/>
          <w:lang w:val="fr-FR" w:eastAsia="en-US"/>
        </w:rPr>
        <w:t xml:space="preserve">, </w:t>
      </w:r>
      <w:r w:rsidR="00F55EF0" w:rsidRPr="004A7EFC">
        <w:rPr>
          <w:rFonts w:eastAsia="Arial" w:cs="Arial"/>
          <w:lang w:val="fr-FR" w:eastAsia="en-US"/>
        </w:rPr>
        <w:t xml:space="preserve">par laquelle le Congrès a décidé </w:t>
      </w:r>
      <w:r w:rsidR="00123CD9" w:rsidRPr="004A7EFC">
        <w:rPr>
          <w:rFonts w:eastAsia="Arial" w:cs="Arial"/>
          <w:lang w:val="fr-FR" w:eastAsia="en-US"/>
        </w:rPr>
        <w:t xml:space="preserve">que le mandat révisé de la SERCOM entrerait en vigueur immédiatement et que </w:t>
      </w:r>
      <w:r w:rsidR="00921256" w:rsidRPr="004A7EFC">
        <w:rPr>
          <w:rFonts w:eastAsia="Arial" w:cs="Arial"/>
          <w:lang w:val="fr-FR" w:eastAsia="en-US"/>
        </w:rPr>
        <w:t xml:space="preserve">les commissions techniques concernées </w:t>
      </w:r>
      <w:r w:rsidR="009C55D4" w:rsidRPr="004A7EFC">
        <w:rPr>
          <w:rFonts w:eastAsia="Arial" w:cs="Arial"/>
          <w:lang w:val="fr-FR" w:eastAsia="en-US"/>
        </w:rPr>
        <w:t xml:space="preserve">examineraient et réviseraient </w:t>
      </w:r>
      <w:r w:rsidR="00921256" w:rsidRPr="004A7EFC">
        <w:rPr>
          <w:rFonts w:eastAsia="Arial" w:cs="Arial"/>
          <w:lang w:val="fr-FR" w:eastAsia="en-US"/>
        </w:rPr>
        <w:t>régulièrement le Règlement technique de l</w:t>
      </w:r>
      <w:r w:rsidR="001148C8">
        <w:rPr>
          <w:rFonts w:eastAsia="Arial" w:cs="Arial"/>
          <w:lang w:val="fr-FR" w:eastAsia="en-US"/>
        </w:rPr>
        <w:t>’</w:t>
      </w:r>
      <w:r w:rsidR="00921256" w:rsidRPr="004A7EFC">
        <w:rPr>
          <w:rFonts w:eastAsia="Arial" w:cs="Arial"/>
          <w:lang w:val="fr-FR" w:eastAsia="en-US"/>
        </w:rPr>
        <w:t>OMM,</w:t>
      </w:r>
    </w:p>
    <w:p w14:paraId="1960B0F4" w14:textId="7C8B7594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hyperlink r:id="rId20" w:history="1">
        <w:r w:rsidR="00B70427" w:rsidRPr="004A7EFC">
          <w:rPr>
            <w:rStyle w:val="Hyperlink"/>
            <w:rFonts w:eastAsia="Arial" w:cs="Arial"/>
            <w:i/>
            <w:iCs/>
            <w:lang w:val="fr-FR" w:eastAsia="en-US"/>
          </w:rPr>
          <w:t>Guide de l</w:t>
        </w:r>
        <w:r w:rsidR="001148C8">
          <w:rPr>
            <w:rStyle w:val="Hyperlink"/>
            <w:rFonts w:eastAsia="Arial" w:cs="Arial"/>
            <w:i/>
            <w:iCs/>
            <w:lang w:val="fr-FR" w:eastAsia="en-US"/>
          </w:rPr>
          <w:t>’</w:t>
        </w:r>
        <w:r w:rsidR="00B70427" w:rsidRPr="004A7EFC">
          <w:rPr>
            <w:rStyle w:val="Hyperlink"/>
            <w:rFonts w:eastAsia="Arial" w:cs="Arial"/>
            <w:i/>
            <w:iCs/>
            <w:lang w:val="fr-FR" w:eastAsia="en-US"/>
          </w:rPr>
          <w:t>analyse et de la prévision des vagues</w:t>
        </w:r>
      </w:hyperlink>
      <w:r w:rsidR="000244F7" w:rsidRPr="004A7EFC">
        <w:rPr>
          <w:rFonts w:eastAsia="Arial" w:cs="Arial"/>
          <w:lang w:val="fr-FR" w:eastAsia="en-US"/>
        </w:rPr>
        <w:t xml:space="preserve"> (</w:t>
      </w:r>
      <w:r w:rsidR="00B9559B" w:rsidRPr="004A7EFC">
        <w:rPr>
          <w:rFonts w:eastAsia="Arial" w:cs="Arial"/>
          <w:lang w:val="fr-FR" w:eastAsia="en-US"/>
        </w:rPr>
        <w:t>OMM</w:t>
      </w:r>
      <w:r w:rsidR="000244F7" w:rsidRPr="004A7EFC">
        <w:rPr>
          <w:rFonts w:eastAsia="Arial" w:cs="Arial"/>
          <w:lang w:val="fr-FR" w:eastAsia="en-US"/>
        </w:rPr>
        <w:t>-N</w:t>
      </w:r>
      <w:r w:rsidR="00B9559B" w:rsidRPr="004A7EFC">
        <w:rPr>
          <w:rFonts w:eastAsia="Arial" w:cs="Arial"/>
          <w:lang w:val="fr-FR" w:eastAsia="en-US"/>
        </w:rPr>
        <w:t>°</w:t>
      </w:r>
      <w:r w:rsidR="000244F7" w:rsidRPr="004A7EFC">
        <w:rPr>
          <w:rFonts w:eastAsia="Arial" w:cs="Arial"/>
          <w:lang w:val="fr-FR" w:eastAsia="en-US"/>
        </w:rPr>
        <w:t> 702)</w:t>
      </w:r>
    </w:p>
    <w:p w14:paraId="2D7147F9" w14:textId="77777777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eastAsia="en-US"/>
        </w:rPr>
      </w:pPr>
      <w:hyperlink r:id="rId21" w:history="1">
        <w:r w:rsidR="000244F7" w:rsidRPr="004A7EFC">
          <w:rPr>
            <w:rStyle w:val="Hyperlink"/>
            <w:rFonts w:eastAsia="Arial" w:cs="Arial"/>
            <w:i/>
            <w:iCs/>
            <w:lang w:eastAsia="en-US"/>
          </w:rPr>
          <w:t>Guide to Storm Surge Forecasting</w:t>
        </w:r>
      </w:hyperlink>
      <w:r w:rsidR="000244F7" w:rsidRPr="004A7EFC">
        <w:rPr>
          <w:rFonts w:eastAsia="Arial" w:cs="Arial"/>
          <w:lang w:eastAsia="en-US"/>
        </w:rPr>
        <w:t xml:space="preserve"> (WMO-No. 1076)</w:t>
      </w:r>
    </w:p>
    <w:p w14:paraId="6DE2F24C" w14:textId="35E3DBBE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hyperlink r:id="rId22" w:history="1">
        <w:r w:rsidR="00333307" w:rsidRPr="004A7EFC">
          <w:rPr>
            <w:rStyle w:val="Hyperlink"/>
            <w:rFonts w:eastAsia="Arial" w:cs="Arial"/>
            <w:i/>
            <w:iCs/>
            <w:lang w:val="fr-FR" w:eastAsia="en-US"/>
          </w:rPr>
          <w:t>Manuel de l</w:t>
        </w:r>
        <w:r w:rsidR="001148C8">
          <w:rPr>
            <w:rStyle w:val="Hyperlink"/>
            <w:rFonts w:eastAsia="Arial" w:cs="Arial"/>
            <w:i/>
            <w:iCs/>
            <w:lang w:val="fr-FR" w:eastAsia="en-US"/>
          </w:rPr>
          <w:t>’</w:t>
        </w:r>
        <w:r w:rsidR="00333307" w:rsidRPr="004A7EFC">
          <w:rPr>
            <w:rStyle w:val="Hyperlink"/>
            <w:rFonts w:eastAsia="Arial" w:cs="Arial"/>
            <w:i/>
            <w:iCs/>
            <w:lang w:val="fr-FR" w:eastAsia="en-US"/>
          </w:rPr>
          <w:t>assistance météorologique aux activités maritimes, Volume I – Aspects mondiaux</w:t>
        </w:r>
      </w:hyperlink>
      <w:r w:rsidR="000244F7" w:rsidRPr="004A7EFC">
        <w:rPr>
          <w:rFonts w:eastAsia="Arial" w:cs="Arial"/>
          <w:lang w:val="fr-FR" w:eastAsia="en-US"/>
        </w:rPr>
        <w:t xml:space="preserve"> (</w:t>
      </w:r>
      <w:r w:rsidR="00333307" w:rsidRPr="004A7EFC">
        <w:rPr>
          <w:rFonts w:eastAsia="Arial" w:cs="Arial"/>
          <w:lang w:val="fr-FR" w:eastAsia="en-US"/>
        </w:rPr>
        <w:t>OMM-N° </w:t>
      </w:r>
      <w:r w:rsidR="000244F7" w:rsidRPr="004A7EFC">
        <w:rPr>
          <w:rFonts w:eastAsia="Arial" w:cs="Arial"/>
          <w:lang w:val="fr-FR" w:eastAsia="en-US"/>
        </w:rPr>
        <w:t>558)</w:t>
      </w:r>
    </w:p>
    <w:p w14:paraId="36763B75" w14:textId="08CD4EA4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hyperlink r:id="rId23" w:history="1">
        <w:r w:rsidR="003A47C2" w:rsidRPr="004A7EFC">
          <w:rPr>
            <w:rStyle w:val="Hyperlink"/>
            <w:rFonts w:eastAsia="Arial" w:cs="Arial"/>
            <w:i/>
            <w:iCs/>
            <w:lang w:val="fr-FR" w:eastAsia="en-US"/>
          </w:rPr>
          <w:t>Guide de l</w:t>
        </w:r>
        <w:r w:rsidR="001148C8">
          <w:rPr>
            <w:rStyle w:val="Hyperlink"/>
            <w:rFonts w:eastAsia="Arial" w:cs="Arial"/>
            <w:i/>
            <w:iCs/>
            <w:lang w:val="fr-FR" w:eastAsia="en-US"/>
          </w:rPr>
          <w:t>’</w:t>
        </w:r>
        <w:r w:rsidR="003A47C2" w:rsidRPr="004A7EFC">
          <w:rPr>
            <w:rStyle w:val="Hyperlink"/>
            <w:rFonts w:eastAsia="Arial" w:cs="Arial"/>
            <w:i/>
            <w:iCs/>
            <w:lang w:val="fr-FR" w:eastAsia="en-US"/>
          </w:rPr>
          <w:t>assistance météorologique aux activités maritimes</w:t>
        </w:r>
      </w:hyperlink>
      <w:r w:rsidR="000244F7" w:rsidRPr="004A7EFC">
        <w:rPr>
          <w:rFonts w:eastAsia="Arial" w:cs="Arial"/>
          <w:lang w:val="fr-FR" w:eastAsia="en-US"/>
        </w:rPr>
        <w:t xml:space="preserve"> (</w:t>
      </w:r>
      <w:r w:rsidR="003A47C2" w:rsidRPr="004A7EFC">
        <w:rPr>
          <w:rFonts w:eastAsia="Arial" w:cs="Arial"/>
          <w:lang w:val="fr-FR" w:eastAsia="en-US"/>
        </w:rPr>
        <w:t>OMM-N° </w:t>
      </w:r>
      <w:r w:rsidR="000244F7" w:rsidRPr="004A7EFC">
        <w:rPr>
          <w:rFonts w:eastAsia="Arial" w:cs="Arial"/>
          <w:lang w:val="fr-FR" w:eastAsia="en-US"/>
        </w:rPr>
        <w:t>471)</w:t>
      </w:r>
    </w:p>
    <w:p w14:paraId="70D3B611" w14:textId="68E6E2F8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hyperlink r:id="rId24" w:history="1">
        <w:r w:rsidR="006817BE" w:rsidRPr="004A7EFC">
          <w:rPr>
            <w:rStyle w:val="Hyperlink"/>
            <w:rFonts w:eastAsia="Arial" w:cs="Arial"/>
            <w:i/>
            <w:iCs/>
            <w:lang w:val="fr-FR" w:eastAsia="en-US"/>
          </w:rPr>
          <w:t>Lignes directrices pour la mise en œuvre d</w:t>
        </w:r>
        <w:r w:rsidR="001148C8">
          <w:rPr>
            <w:rStyle w:val="Hyperlink"/>
            <w:rFonts w:eastAsia="Arial" w:cs="Arial"/>
            <w:i/>
            <w:iCs/>
            <w:lang w:val="fr-FR" w:eastAsia="en-US"/>
          </w:rPr>
          <w:t>’</w:t>
        </w:r>
        <w:r w:rsidR="006817BE" w:rsidRPr="004A7EFC">
          <w:rPr>
            <w:rStyle w:val="Hyperlink"/>
            <w:rFonts w:eastAsia="Arial" w:cs="Arial"/>
            <w:i/>
            <w:iCs/>
            <w:lang w:val="fr-FR" w:eastAsia="en-US"/>
          </w:rPr>
          <w:t>un système d</w:t>
        </w:r>
        <w:r w:rsidR="001148C8">
          <w:rPr>
            <w:rStyle w:val="Hyperlink"/>
            <w:rFonts w:eastAsia="Arial" w:cs="Arial"/>
            <w:i/>
            <w:iCs/>
            <w:lang w:val="fr-FR" w:eastAsia="en-US"/>
          </w:rPr>
          <w:t>’</w:t>
        </w:r>
        <w:r w:rsidR="006817BE" w:rsidRPr="004A7EFC">
          <w:rPr>
            <w:rStyle w:val="Hyperlink"/>
            <w:rFonts w:eastAsia="Arial" w:cs="Arial"/>
            <w:i/>
            <w:iCs/>
            <w:lang w:val="fr-FR" w:eastAsia="en-US"/>
          </w:rPr>
          <w:t>alerte précoce pour la prévision des inondations côtières</w:t>
        </w:r>
      </w:hyperlink>
      <w:r w:rsidR="000244F7" w:rsidRPr="004A7EFC">
        <w:rPr>
          <w:rFonts w:eastAsia="Arial" w:cs="Arial"/>
          <w:lang w:val="fr-FR" w:eastAsia="en-US"/>
        </w:rPr>
        <w:t xml:space="preserve"> (</w:t>
      </w:r>
      <w:r w:rsidR="006817BE" w:rsidRPr="004A7EFC">
        <w:rPr>
          <w:rFonts w:eastAsia="Arial" w:cs="Arial"/>
          <w:lang w:val="fr-FR" w:eastAsia="en-US"/>
        </w:rPr>
        <w:t>OMM-N° </w:t>
      </w:r>
      <w:r w:rsidR="000244F7" w:rsidRPr="004A7EFC">
        <w:rPr>
          <w:rFonts w:eastAsia="Arial" w:cs="Arial"/>
          <w:lang w:val="fr-FR" w:eastAsia="en-US"/>
        </w:rPr>
        <w:t>1293)</w:t>
      </w:r>
    </w:p>
    <w:p w14:paraId="04FC9DB8" w14:textId="5766FC11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eastAsia="en-US"/>
        </w:rPr>
      </w:pPr>
      <w:hyperlink r:id="rId25" w:history="1">
        <w:r w:rsidR="000244F7" w:rsidRPr="004A7EFC">
          <w:rPr>
            <w:rStyle w:val="Hyperlink"/>
            <w:rFonts w:eastAsia="Arial" w:cs="Arial"/>
            <w:i/>
            <w:iCs/>
            <w:lang w:eastAsia="en-US"/>
          </w:rPr>
          <w:t>Compendium of WMO Competency Frameworks</w:t>
        </w:r>
      </w:hyperlink>
      <w:r w:rsidR="000244F7" w:rsidRPr="004A7EFC">
        <w:rPr>
          <w:rFonts w:eastAsia="Arial" w:cs="Arial"/>
          <w:lang w:eastAsia="en-US"/>
        </w:rPr>
        <w:t xml:space="preserve"> (WMO-No. 1209) </w:t>
      </w:r>
      <w:r w:rsidR="00097269">
        <w:rPr>
          <w:rFonts w:eastAsia="Arial" w:cs="Arial"/>
          <w:lang w:eastAsia="en-US"/>
        </w:rPr>
        <w:t>–</w:t>
      </w:r>
      <w:r w:rsidR="000244F7" w:rsidRPr="004A7EFC">
        <w:rPr>
          <w:rFonts w:eastAsia="Arial" w:cs="Arial"/>
          <w:lang w:eastAsia="en-US"/>
        </w:rPr>
        <w:t xml:space="preserve"> (</w:t>
      </w:r>
      <w:hyperlink r:id="rId26" w:history="1">
        <w:r w:rsidR="000244F7" w:rsidRPr="004A7EFC">
          <w:rPr>
            <w:rStyle w:val="Hyperlink"/>
            <w:rFonts w:eastAsia="Arial" w:cs="Arial"/>
            <w:lang w:eastAsia="en-US"/>
          </w:rPr>
          <w:t>2.5 Marine Weather Forecasters</w:t>
        </w:r>
      </w:hyperlink>
      <w:r w:rsidR="000244F7" w:rsidRPr="004A7EFC">
        <w:rPr>
          <w:rFonts w:eastAsia="Arial" w:cs="Arial"/>
          <w:lang w:eastAsia="en-US"/>
        </w:rPr>
        <w:t>)</w:t>
      </w:r>
    </w:p>
    <w:p w14:paraId="6A3B52EA" w14:textId="132B7E6C" w:rsidR="000244F7" w:rsidRPr="004A7EFC" w:rsidRDefault="00000000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hyperlink r:id="rId27" w:history="1">
        <w:r w:rsidR="007B0DBB" w:rsidRPr="004A7EFC">
          <w:rPr>
            <w:rStyle w:val="Hyperlink"/>
            <w:rFonts w:eastAsia="Arial" w:cs="Arial"/>
            <w:i/>
            <w:iCs/>
            <w:lang w:val="fr-FR" w:eastAsia="en-US"/>
          </w:rPr>
          <w:t>Vocabulaire météorologique international</w:t>
        </w:r>
      </w:hyperlink>
      <w:r w:rsidR="000244F7" w:rsidRPr="004A7EFC">
        <w:rPr>
          <w:rFonts w:eastAsia="Arial" w:cs="Arial"/>
          <w:lang w:val="fr-FR" w:eastAsia="en-US"/>
        </w:rPr>
        <w:t xml:space="preserve"> (</w:t>
      </w:r>
      <w:r w:rsidR="003B5F5B" w:rsidRPr="004A7EFC">
        <w:rPr>
          <w:rFonts w:eastAsia="Arial" w:cs="Arial"/>
          <w:lang w:val="fr-FR" w:eastAsia="en-US"/>
        </w:rPr>
        <w:t>OMM-N° </w:t>
      </w:r>
      <w:r w:rsidR="000244F7" w:rsidRPr="004A7EFC">
        <w:rPr>
          <w:rFonts w:eastAsia="Arial" w:cs="Arial"/>
          <w:lang w:val="fr-FR" w:eastAsia="en-US"/>
        </w:rPr>
        <w:t>182)</w:t>
      </w:r>
    </w:p>
    <w:p w14:paraId="00E8C842" w14:textId="1E8A52D2" w:rsidR="000244F7" w:rsidRPr="004A7EFC" w:rsidRDefault="00B9559B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r w:rsidRPr="004A7EFC">
        <w:rPr>
          <w:rFonts w:eastAsia="Arial" w:cs="Arial"/>
          <w:lang w:val="fr-FR" w:eastAsia="en-US"/>
        </w:rPr>
        <w:t>L</w:t>
      </w:r>
      <w:r w:rsidR="001148C8">
        <w:rPr>
          <w:rFonts w:eastAsia="Arial" w:cs="Arial"/>
          <w:lang w:val="fr-FR" w:eastAsia="en-US"/>
        </w:rPr>
        <w:t>’</w:t>
      </w:r>
      <w:r w:rsidRPr="004A7EFC">
        <w:rPr>
          <w:rFonts w:eastAsia="Arial" w:cs="Arial"/>
          <w:lang w:val="fr-FR" w:eastAsia="en-US"/>
        </w:rPr>
        <w:t xml:space="preserve">OMM fait partie du </w:t>
      </w:r>
      <w:r w:rsidR="001E3F45" w:rsidRPr="004A7EFC">
        <w:rPr>
          <w:rFonts w:eastAsia="Arial" w:cs="Arial"/>
          <w:lang w:val="fr-FR" w:eastAsia="en-US"/>
        </w:rPr>
        <w:t>Groupe de travail sur les systèmes d</w:t>
      </w:r>
      <w:r w:rsidR="001148C8">
        <w:rPr>
          <w:rFonts w:eastAsia="Arial" w:cs="Arial"/>
          <w:lang w:val="fr-FR" w:eastAsia="en-US"/>
        </w:rPr>
        <w:t>’</w:t>
      </w:r>
      <w:r w:rsidR="001E3F45" w:rsidRPr="004A7EFC">
        <w:rPr>
          <w:rFonts w:eastAsia="Arial" w:cs="Arial"/>
          <w:lang w:val="fr-FR" w:eastAsia="en-US"/>
        </w:rPr>
        <w:t>alerte aux tsunamis et autres aléas liés au niveau de la mer, et de mitigation (TOWS-WG) de la COI de l</w:t>
      </w:r>
      <w:r w:rsidR="001148C8">
        <w:rPr>
          <w:rFonts w:eastAsia="Arial" w:cs="Arial"/>
          <w:lang w:val="fr-FR" w:eastAsia="en-US"/>
        </w:rPr>
        <w:t>’</w:t>
      </w:r>
      <w:r w:rsidR="000244F7" w:rsidRPr="004A7EFC">
        <w:rPr>
          <w:rFonts w:eastAsia="Arial" w:cs="Arial"/>
          <w:lang w:val="fr-FR" w:eastAsia="en-US"/>
        </w:rPr>
        <w:t xml:space="preserve">UNESCO </w:t>
      </w:r>
    </w:p>
    <w:p w14:paraId="7D573901" w14:textId="37E17592" w:rsidR="000244F7" w:rsidRPr="004A7EFC" w:rsidRDefault="00A24915" w:rsidP="000244F7">
      <w:pPr>
        <w:pStyle w:val="WMOBodyText"/>
        <w:numPr>
          <w:ilvl w:val="0"/>
          <w:numId w:val="48"/>
        </w:numPr>
        <w:suppressAutoHyphens/>
        <w:autoSpaceDN w:val="0"/>
        <w:ind w:left="567" w:hanging="567"/>
        <w:textAlignment w:val="baseline"/>
        <w:rPr>
          <w:rFonts w:eastAsia="Arial" w:cs="Arial"/>
          <w:lang w:val="fr-FR" w:eastAsia="en-US"/>
        </w:rPr>
      </w:pPr>
      <w:r w:rsidRPr="004A7EFC">
        <w:rPr>
          <w:lang w:val="fr-FR"/>
        </w:rPr>
        <w:t xml:space="preserve">À sa </w:t>
      </w:r>
      <w:hyperlink r:id="rId28" w:history="1">
        <w:r w:rsidRPr="004A7EFC">
          <w:rPr>
            <w:rStyle w:val="Hyperlink"/>
            <w:lang w:val="fr-FR"/>
          </w:rPr>
          <w:t>première réunion</w:t>
        </w:r>
      </w:hyperlink>
      <w:r w:rsidR="00CB636B" w:rsidRPr="004A7EFC">
        <w:rPr>
          <w:lang w:val="fr-FR"/>
        </w:rPr>
        <w:t xml:space="preserve">, </w:t>
      </w:r>
      <w:r w:rsidRPr="004A7EFC">
        <w:rPr>
          <w:lang w:val="fr-FR"/>
        </w:rPr>
        <w:t xml:space="preserve">le </w:t>
      </w:r>
      <w:r w:rsidR="000244F7" w:rsidRPr="004A7EFC">
        <w:rPr>
          <w:rFonts w:eastAsia="Arial" w:cs="Arial"/>
          <w:lang w:val="fr-FR" w:eastAsia="en-US"/>
        </w:rPr>
        <w:t xml:space="preserve">TOWS-WG </w:t>
      </w:r>
      <w:r w:rsidR="003330C0" w:rsidRPr="004A7EFC">
        <w:rPr>
          <w:rFonts w:eastAsia="Arial" w:cs="Arial"/>
          <w:lang w:val="fr-FR" w:eastAsia="en-US"/>
        </w:rPr>
        <w:t xml:space="preserve">a décidé </w:t>
      </w:r>
      <w:r w:rsidR="00B379C1" w:rsidRPr="004A7EFC">
        <w:rPr>
          <w:rFonts w:eastAsia="Arial" w:cs="Arial"/>
          <w:lang w:val="fr-FR" w:eastAsia="en-US"/>
        </w:rPr>
        <w:t>qu</w:t>
      </w:r>
      <w:r w:rsidR="001148C8">
        <w:rPr>
          <w:rFonts w:eastAsia="Arial" w:cs="Arial"/>
          <w:lang w:val="fr-FR" w:eastAsia="en-US"/>
        </w:rPr>
        <w:t>’</w:t>
      </w:r>
      <w:r w:rsidR="00B379C1" w:rsidRPr="004A7EFC">
        <w:rPr>
          <w:rFonts w:eastAsia="Arial" w:cs="Arial"/>
          <w:lang w:val="fr-FR" w:eastAsia="en-US"/>
        </w:rPr>
        <w:t xml:space="preserve">une </w:t>
      </w:r>
      <w:r w:rsidR="00CB636B" w:rsidRPr="004A7EFC">
        <w:rPr>
          <w:rFonts w:eastAsia="Arial" w:cs="Arial"/>
          <w:lang w:val="fr-FR" w:eastAsia="en-US"/>
        </w:rPr>
        <w:t>première</w:t>
      </w:r>
      <w:r w:rsidR="00B379C1" w:rsidRPr="004A7EFC">
        <w:rPr>
          <w:rFonts w:eastAsia="Arial" w:cs="Arial"/>
          <w:lang w:val="fr-FR" w:eastAsia="en-US"/>
        </w:rPr>
        <w:t xml:space="preserve"> activité pourrait consister à définir un vocabulaire/glo</w:t>
      </w:r>
      <w:r w:rsidR="00A617DA" w:rsidRPr="004A7EFC">
        <w:rPr>
          <w:rFonts w:eastAsia="Arial" w:cs="Arial"/>
          <w:lang w:val="fr-FR" w:eastAsia="en-US"/>
        </w:rPr>
        <w:t>s</w:t>
      </w:r>
      <w:r w:rsidR="00B379C1" w:rsidRPr="004A7EFC">
        <w:rPr>
          <w:rFonts w:eastAsia="Arial" w:cs="Arial"/>
          <w:lang w:val="fr-FR" w:eastAsia="en-US"/>
        </w:rPr>
        <w:t>saire commun sur les systèmes d</w:t>
      </w:r>
      <w:r w:rsidR="001148C8">
        <w:rPr>
          <w:rFonts w:eastAsia="Arial" w:cs="Arial"/>
          <w:lang w:val="fr-FR" w:eastAsia="en-US"/>
        </w:rPr>
        <w:t>’</w:t>
      </w:r>
      <w:r w:rsidR="00B379C1" w:rsidRPr="004A7EFC">
        <w:rPr>
          <w:rFonts w:eastAsia="Arial" w:cs="Arial"/>
          <w:lang w:val="fr-FR" w:eastAsia="en-US"/>
        </w:rPr>
        <w:t>alerte (</w:t>
      </w:r>
      <w:r w:rsidR="00A617DA" w:rsidRPr="004A7EFC">
        <w:rPr>
          <w:rFonts w:eastAsia="Arial" w:cs="Arial"/>
          <w:lang w:val="fr-FR" w:eastAsia="en-US"/>
        </w:rPr>
        <w:t>exploités par l</w:t>
      </w:r>
      <w:r w:rsidR="001148C8">
        <w:rPr>
          <w:rFonts w:eastAsia="Arial" w:cs="Arial"/>
          <w:lang w:val="fr-FR" w:eastAsia="en-US"/>
        </w:rPr>
        <w:t>’</w:t>
      </w:r>
      <w:r w:rsidR="00A617DA" w:rsidRPr="004A7EFC">
        <w:rPr>
          <w:rFonts w:eastAsia="Arial" w:cs="Arial"/>
          <w:lang w:val="fr-FR" w:eastAsia="en-US"/>
        </w:rPr>
        <w:t>OMM et la COI de l</w:t>
      </w:r>
      <w:r w:rsidR="001148C8">
        <w:rPr>
          <w:rFonts w:eastAsia="Arial" w:cs="Arial"/>
          <w:lang w:val="fr-FR" w:eastAsia="en-US"/>
        </w:rPr>
        <w:t>’</w:t>
      </w:r>
      <w:r w:rsidR="000244F7" w:rsidRPr="004A7EFC">
        <w:rPr>
          <w:rFonts w:eastAsia="Arial" w:cs="Arial"/>
          <w:lang w:val="fr-FR" w:eastAsia="en-US"/>
        </w:rPr>
        <w:t>UNESCO)</w:t>
      </w:r>
    </w:p>
    <w:p w14:paraId="1632E1F0" w14:textId="3C01E198" w:rsidR="000244F7" w:rsidRDefault="00000000" w:rsidP="000244F7">
      <w:pPr>
        <w:pStyle w:val="WMOBodyText"/>
        <w:numPr>
          <w:ilvl w:val="0"/>
          <w:numId w:val="48"/>
        </w:numPr>
        <w:ind w:left="567" w:hanging="567"/>
        <w:rPr>
          <w:rFonts w:eastAsia="Arial" w:cs="Arial"/>
          <w:lang w:val="fr-FR" w:eastAsia="en-US"/>
        </w:rPr>
      </w:pPr>
      <w:hyperlink r:id="rId29" w:history="1">
        <w:r w:rsidR="009B3FE3" w:rsidRPr="004A7EFC">
          <w:rPr>
            <w:rStyle w:val="Hyperlink"/>
            <w:lang w:val="fr-FR"/>
          </w:rPr>
          <w:t xml:space="preserve">Définition UNTERM de </w:t>
        </w:r>
        <w:r w:rsidR="005D11A1" w:rsidRPr="004A7EFC">
          <w:rPr>
            <w:rStyle w:val="Hyperlink"/>
            <w:lang w:val="fr-FR"/>
          </w:rPr>
          <w:t>«</w:t>
        </w:r>
        <w:r w:rsidR="009B3FE3" w:rsidRPr="004A7EFC">
          <w:rPr>
            <w:rStyle w:val="Hyperlink"/>
            <w:lang w:val="fr-FR"/>
          </w:rPr>
          <w:t>météo-tsunami</w:t>
        </w:r>
      </w:hyperlink>
      <w:r w:rsidR="005D11A1" w:rsidRPr="004A7EFC">
        <w:rPr>
          <w:lang w:val="fr-FR"/>
        </w:rPr>
        <w:t>»</w:t>
      </w:r>
      <w:r w:rsidR="00E04374" w:rsidRPr="004A7EFC">
        <w:rPr>
          <w:lang w:val="fr-FR"/>
        </w:rPr>
        <w:t xml:space="preserve">, telle que </w:t>
      </w:r>
      <w:r w:rsidR="005D11A1" w:rsidRPr="004A7EFC">
        <w:rPr>
          <w:lang w:val="fr-FR"/>
        </w:rPr>
        <w:t>présentée</w:t>
      </w:r>
      <w:r w:rsidR="00E04374" w:rsidRPr="004A7EFC">
        <w:rPr>
          <w:lang w:val="fr-FR"/>
        </w:rPr>
        <w:t xml:space="preserve"> par l</w:t>
      </w:r>
      <w:r w:rsidR="001148C8">
        <w:rPr>
          <w:lang w:val="fr-FR"/>
        </w:rPr>
        <w:t>’</w:t>
      </w:r>
      <w:r w:rsidR="000244F7" w:rsidRPr="004A7EFC">
        <w:rPr>
          <w:rFonts w:eastAsia="Arial" w:cs="Arial"/>
          <w:lang w:val="fr-FR" w:eastAsia="en-US"/>
        </w:rPr>
        <w:t>UNESCO.</w:t>
      </w:r>
    </w:p>
    <w:p w14:paraId="3721CC36" w14:textId="77777777" w:rsidR="00C90FC0" w:rsidRPr="00CB6C40" w:rsidRDefault="00C90FC0" w:rsidP="00C90FC0">
      <w:pPr>
        <w:pStyle w:val="WMOBodyText"/>
        <w:ind w:left="567"/>
        <w:rPr>
          <w:rFonts w:eastAsia="Arial" w:cs="Arial"/>
          <w:lang w:val="fr-FR" w:eastAsia="en-US"/>
        </w:rPr>
      </w:pPr>
    </w:p>
    <w:p w14:paraId="26A41148" w14:textId="77777777" w:rsidR="00C90FC0" w:rsidRPr="00CB6C40" w:rsidRDefault="00C90FC0" w:rsidP="00C90FC0">
      <w:pPr>
        <w:pStyle w:val="WMOBodyText"/>
        <w:jc w:val="center"/>
        <w:rPr>
          <w:rFonts w:eastAsia="Arial" w:cs="Arial"/>
          <w:lang w:val="fr-FR" w:eastAsia="en-US"/>
        </w:rPr>
      </w:pPr>
      <w:r w:rsidRPr="00CB6C40">
        <w:rPr>
          <w:rFonts w:eastAsia="Arial" w:cs="Arial"/>
          <w:lang w:val="fr-FR" w:eastAsia="en-US"/>
        </w:rPr>
        <w:t>________________</w:t>
      </w:r>
    </w:p>
    <w:p w14:paraId="1A96456D" w14:textId="77777777" w:rsidR="00C90FC0" w:rsidRPr="004A7EFC" w:rsidRDefault="00C90FC0" w:rsidP="00C90FC0">
      <w:pPr>
        <w:pStyle w:val="WMOBodyText"/>
        <w:rPr>
          <w:rFonts w:eastAsia="Arial" w:cs="Arial"/>
          <w:lang w:val="fr-FR" w:eastAsia="en-US"/>
        </w:rPr>
      </w:pPr>
    </w:p>
    <w:p w14:paraId="487F9D71" w14:textId="3550D455" w:rsidR="0037222D" w:rsidRPr="004A7EFC" w:rsidRDefault="00A350FC" w:rsidP="0037222D">
      <w:pPr>
        <w:pStyle w:val="Heading2"/>
        <w:pageBreakBefore/>
        <w:rPr>
          <w:lang w:val="fr-FR"/>
        </w:rPr>
      </w:pPr>
      <w:bookmarkStart w:id="1" w:name="_Annexe_du_projet"/>
      <w:bookmarkStart w:id="2" w:name="Annexe_decision"/>
      <w:bookmarkEnd w:id="1"/>
      <w:r w:rsidRPr="004A7EFC">
        <w:rPr>
          <w:lang w:val="fr-FR"/>
        </w:rPr>
        <w:lastRenderedPageBreak/>
        <w:t xml:space="preserve">Annexe du projet de décision </w:t>
      </w:r>
      <w:r w:rsidR="00CB6C40">
        <w:rPr>
          <w:lang w:val="fr-FR"/>
        </w:rPr>
        <w:t>4.7(2)</w:t>
      </w:r>
      <w:r w:rsidRPr="004A7EFC">
        <w:rPr>
          <w:lang w:val="fr-FR"/>
        </w:rPr>
        <w:t>/</w:t>
      </w:r>
      <w:r w:rsidR="0037222D" w:rsidRPr="004A7EFC">
        <w:rPr>
          <w:lang w:val="fr-FR"/>
        </w:rPr>
        <w:t xml:space="preserve">1 </w:t>
      </w:r>
      <w:r w:rsidR="00F21B41" w:rsidRPr="004A7EFC">
        <w:rPr>
          <w:lang w:val="fr-FR"/>
        </w:rPr>
        <w:t>(SERCOM-</w:t>
      </w:r>
      <w:r w:rsidR="00250A6B" w:rsidRPr="004A7EFC">
        <w:rPr>
          <w:lang w:val="fr-FR"/>
        </w:rPr>
        <w:t>3</w:t>
      </w:r>
      <w:r w:rsidR="00F21B41" w:rsidRPr="004A7EFC">
        <w:rPr>
          <w:lang w:val="fr-FR"/>
        </w:rPr>
        <w:t>)</w:t>
      </w:r>
    </w:p>
    <w:bookmarkEnd w:id="2"/>
    <w:p w14:paraId="2449927A" w14:textId="001E907A" w:rsidR="00121AAE" w:rsidRPr="004A7EFC" w:rsidRDefault="00FE229B" w:rsidP="00121AAE">
      <w:pPr>
        <w:pStyle w:val="WMOBodyText"/>
        <w:rPr>
          <w:b/>
          <w:bCs/>
          <w:lang w:val="fr-FR"/>
        </w:rPr>
      </w:pPr>
      <w:r w:rsidRPr="004A7EFC">
        <w:rPr>
          <w:b/>
          <w:bCs/>
          <w:lang w:val="fr-FR"/>
        </w:rPr>
        <w:t>Proposition de principes à inclure dans le projet d</w:t>
      </w:r>
      <w:r w:rsidR="001148C8">
        <w:rPr>
          <w:b/>
          <w:bCs/>
          <w:lang w:val="fr-FR"/>
        </w:rPr>
        <w:t>’</w:t>
      </w:r>
      <w:r w:rsidRPr="004A7EFC">
        <w:rPr>
          <w:b/>
          <w:bCs/>
          <w:lang w:val="fr-FR"/>
        </w:rPr>
        <w:t>orientations à l</w:t>
      </w:r>
      <w:r w:rsidR="001148C8">
        <w:rPr>
          <w:b/>
          <w:bCs/>
          <w:lang w:val="fr-FR"/>
        </w:rPr>
        <w:t>’</w:t>
      </w:r>
      <w:r w:rsidRPr="004A7EFC">
        <w:rPr>
          <w:b/>
          <w:bCs/>
          <w:lang w:val="fr-FR"/>
        </w:rPr>
        <w:t>intention des Services météorologiques et hydrologiques nationaux (à affiner au cours du processus d</w:t>
      </w:r>
      <w:r w:rsidR="001148C8">
        <w:rPr>
          <w:b/>
          <w:bCs/>
          <w:lang w:val="fr-FR"/>
        </w:rPr>
        <w:t>’</w:t>
      </w:r>
      <w:r w:rsidRPr="004A7EFC">
        <w:rPr>
          <w:b/>
          <w:bCs/>
          <w:lang w:val="fr-FR"/>
        </w:rPr>
        <w:t>élaboration des orientations)</w:t>
      </w:r>
    </w:p>
    <w:p w14:paraId="35850CC4" w14:textId="107D9264" w:rsidR="00121AAE" w:rsidRPr="004A7EFC" w:rsidRDefault="00121AAE" w:rsidP="00121AAE">
      <w:pPr>
        <w:pStyle w:val="WMOBodyText"/>
        <w:numPr>
          <w:ilvl w:val="0"/>
          <w:numId w:val="50"/>
        </w:numPr>
        <w:suppressAutoHyphens/>
        <w:autoSpaceDN w:val="0"/>
        <w:ind w:left="1134" w:hanging="567"/>
        <w:textAlignment w:val="baseline"/>
      </w:pPr>
      <w:r w:rsidRPr="004A7EFC">
        <w:t xml:space="preserve">Introduction </w:t>
      </w:r>
      <w:r w:rsidR="00DD3E7C" w:rsidRPr="004A7EFC">
        <w:t xml:space="preserve">et </w:t>
      </w:r>
      <w:proofErr w:type="spellStart"/>
      <w:r w:rsidR="00DD3E7C" w:rsidRPr="004A7EFC">
        <w:t>c</w:t>
      </w:r>
      <w:r w:rsidRPr="004A7EFC">
        <w:t>onsid</w:t>
      </w:r>
      <w:r w:rsidR="00DD3E7C" w:rsidRPr="004A7EFC">
        <w:t>é</w:t>
      </w:r>
      <w:r w:rsidRPr="004A7EFC">
        <w:t>rations</w:t>
      </w:r>
      <w:proofErr w:type="spellEnd"/>
      <w:r w:rsidR="00DD3E7C" w:rsidRPr="004A7EFC">
        <w:t xml:space="preserve"> </w:t>
      </w:r>
      <w:proofErr w:type="spellStart"/>
      <w:r w:rsidR="00DD3E7C" w:rsidRPr="004A7EFC">
        <w:t>générales</w:t>
      </w:r>
      <w:proofErr w:type="spellEnd"/>
    </w:p>
    <w:p w14:paraId="4C4788C1" w14:textId="26962771" w:rsidR="00121AAE" w:rsidRPr="004A7EFC" w:rsidRDefault="00A6635C" w:rsidP="00121AAE">
      <w:pPr>
        <w:pStyle w:val="WMOBodyText"/>
        <w:numPr>
          <w:ilvl w:val="0"/>
          <w:numId w:val="50"/>
        </w:numPr>
        <w:suppressAutoHyphens/>
        <w:autoSpaceDN w:val="0"/>
        <w:ind w:left="1134" w:hanging="567"/>
        <w:textAlignment w:val="baseline"/>
        <w:rPr>
          <w:lang w:val="fr-FR"/>
        </w:rPr>
      </w:pPr>
      <w:r w:rsidRPr="004A7EFC">
        <w:rPr>
          <w:lang w:val="fr-FR"/>
        </w:rPr>
        <w:t>Vue d</w:t>
      </w:r>
      <w:r w:rsidR="001148C8">
        <w:rPr>
          <w:lang w:val="fr-FR"/>
        </w:rPr>
        <w:t>’</w:t>
      </w:r>
      <w:r w:rsidRPr="004A7EFC">
        <w:rPr>
          <w:lang w:val="fr-FR"/>
        </w:rPr>
        <w:t xml:space="preserve">ensemble des </w:t>
      </w:r>
      <w:r w:rsidR="006D7AB8" w:rsidRPr="004A7EFC">
        <w:rPr>
          <w:lang w:val="fr-FR"/>
        </w:rPr>
        <w:t xml:space="preserve">perturbations ondulatoires </w:t>
      </w:r>
      <w:r w:rsidRPr="004A7EFC">
        <w:rPr>
          <w:lang w:val="fr-FR"/>
        </w:rPr>
        <w:t>longues causées par des perturbations atmosphériques (généralement liées aux conditions météorologiques), y compris:</w:t>
      </w:r>
    </w:p>
    <w:p w14:paraId="6F562DE0" w14:textId="2719F40D" w:rsidR="00121AAE" w:rsidRPr="004A7EFC" w:rsidRDefault="00121AAE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</w:pPr>
      <w:proofErr w:type="spellStart"/>
      <w:r w:rsidRPr="004A7EFC">
        <w:t>D</w:t>
      </w:r>
      <w:r w:rsidR="00DD3E7C" w:rsidRPr="004A7EFC">
        <w:t>é</w:t>
      </w:r>
      <w:r w:rsidRPr="004A7EFC">
        <w:t>finition</w:t>
      </w:r>
      <w:proofErr w:type="spellEnd"/>
    </w:p>
    <w:p w14:paraId="582ADB71" w14:textId="6351345B" w:rsidR="00121AAE" w:rsidRPr="004A7EFC" w:rsidRDefault="00E07445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</w:pPr>
      <w:r w:rsidRPr="004A7EFC">
        <w:t xml:space="preserve">Aspects physiques et </w:t>
      </w:r>
      <w:proofErr w:type="spellStart"/>
      <w:r w:rsidRPr="004A7EFC">
        <w:t>caractéristiques</w:t>
      </w:r>
      <w:proofErr w:type="spellEnd"/>
    </w:p>
    <w:p w14:paraId="7F315BA2" w14:textId="70C986EF" w:rsidR="00121AAE" w:rsidRPr="004A7EFC" w:rsidRDefault="006B31F2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</w:pPr>
      <w:r w:rsidRPr="004A7EFC">
        <w:t>I</w:t>
      </w:r>
      <w:r w:rsidR="00121AAE" w:rsidRPr="004A7EFC">
        <w:t xml:space="preserve">mpacts </w:t>
      </w:r>
      <w:r w:rsidRPr="004A7EFC">
        <w:t xml:space="preserve">et </w:t>
      </w:r>
      <w:proofErr w:type="spellStart"/>
      <w:r w:rsidRPr="004A7EFC">
        <w:t>dégâts</w:t>
      </w:r>
      <w:proofErr w:type="spellEnd"/>
      <w:r w:rsidRPr="004A7EFC">
        <w:t xml:space="preserve"> </w:t>
      </w:r>
      <w:proofErr w:type="spellStart"/>
      <w:r w:rsidRPr="004A7EFC">
        <w:t>côtiers</w:t>
      </w:r>
      <w:proofErr w:type="spellEnd"/>
    </w:p>
    <w:p w14:paraId="23955109" w14:textId="256A6165" w:rsidR="00121AAE" w:rsidRPr="004A7EFC" w:rsidRDefault="006B31F2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</w:pPr>
      <w:r w:rsidRPr="004A7EFC">
        <w:t>Dimensions l</w:t>
      </w:r>
      <w:r w:rsidR="00121AAE" w:rsidRPr="004A7EFC">
        <w:t>ocal</w:t>
      </w:r>
      <w:r w:rsidRPr="004A7EFC">
        <w:t>es</w:t>
      </w:r>
      <w:r w:rsidR="00121AAE" w:rsidRPr="004A7EFC">
        <w:t xml:space="preserve">, </w:t>
      </w:r>
      <w:proofErr w:type="spellStart"/>
      <w:r w:rsidR="00121AAE" w:rsidRPr="004A7EFC">
        <w:t>r</w:t>
      </w:r>
      <w:r w:rsidRPr="004A7EFC">
        <w:t>é</w:t>
      </w:r>
      <w:r w:rsidR="00121AAE" w:rsidRPr="004A7EFC">
        <w:t>gional</w:t>
      </w:r>
      <w:r w:rsidRPr="004A7EFC">
        <w:t>es</w:t>
      </w:r>
      <w:proofErr w:type="spellEnd"/>
      <w:r w:rsidR="00121AAE" w:rsidRPr="004A7EFC">
        <w:t xml:space="preserve"> </w:t>
      </w:r>
      <w:r w:rsidRPr="004A7EFC">
        <w:t xml:space="preserve">et </w:t>
      </w:r>
      <w:proofErr w:type="spellStart"/>
      <w:r w:rsidRPr="004A7EFC">
        <w:t>mondiales</w:t>
      </w:r>
      <w:proofErr w:type="spellEnd"/>
    </w:p>
    <w:p w14:paraId="3252916C" w14:textId="7A1C737C" w:rsidR="00121AAE" w:rsidRPr="004A7EFC" w:rsidRDefault="00726EEA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  <w:rPr>
          <w:lang w:val="fr-FR"/>
        </w:rPr>
      </w:pPr>
      <w:r w:rsidRPr="004A7EFC">
        <w:rPr>
          <w:lang w:val="fr-FR"/>
        </w:rPr>
        <w:t xml:space="preserve">Échelles de temps </w:t>
      </w:r>
      <w:r w:rsidR="00C90FC0">
        <w:rPr>
          <w:lang w:val="fr-FR"/>
        </w:rPr>
        <w:t>–</w:t>
      </w:r>
      <w:r w:rsidRPr="004A7EFC">
        <w:rPr>
          <w:lang w:val="fr-FR"/>
        </w:rPr>
        <w:t xml:space="preserve"> </w:t>
      </w:r>
      <w:r w:rsidR="00100834" w:rsidRPr="004A7EFC">
        <w:rPr>
          <w:lang w:val="fr-FR"/>
        </w:rPr>
        <w:t>P</w:t>
      </w:r>
      <w:r w:rsidR="004E76F1" w:rsidRPr="004A7EFC">
        <w:rPr>
          <w:lang w:val="fr-FR"/>
        </w:rPr>
        <w:t xml:space="preserve">erturbations ondulatoires </w:t>
      </w:r>
      <w:r w:rsidRPr="004A7EFC">
        <w:rPr>
          <w:lang w:val="fr-FR"/>
        </w:rPr>
        <w:t>à longue portée causées par les conditions météorologiques (prévisions jusqu</w:t>
      </w:r>
      <w:r w:rsidR="001148C8">
        <w:rPr>
          <w:lang w:val="fr-FR"/>
        </w:rPr>
        <w:t>’</w:t>
      </w:r>
      <w:r w:rsidRPr="004A7EFC">
        <w:rPr>
          <w:lang w:val="fr-FR"/>
        </w:rPr>
        <w:t>à plusieurs jours à l</w:t>
      </w:r>
      <w:r w:rsidR="001148C8">
        <w:rPr>
          <w:lang w:val="fr-FR"/>
        </w:rPr>
        <w:t>’</w:t>
      </w:r>
      <w:r w:rsidRPr="004A7EFC">
        <w:rPr>
          <w:lang w:val="fr-FR"/>
        </w:rPr>
        <w:t>avance)</w:t>
      </w:r>
    </w:p>
    <w:p w14:paraId="24A1BD32" w14:textId="606AF5AF" w:rsidR="00121AAE" w:rsidRPr="004A7EFC" w:rsidRDefault="004F6575" w:rsidP="00121AAE">
      <w:pPr>
        <w:pStyle w:val="WMOBodyText"/>
        <w:numPr>
          <w:ilvl w:val="0"/>
          <w:numId w:val="50"/>
        </w:numPr>
        <w:suppressAutoHyphens/>
        <w:autoSpaceDN w:val="0"/>
        <w:ind w:left="1134" w:hanging="567"/>
        <w:textAlignment w:val="baseline"/>
        <w:rPr>
          <w:lang w:val="fr-FR"/>
        </w:rPr>
      </w:pPr>
      <w:r w:rsidRPr="004A7EFC">
        <w:rPr>
          <w:lang w:val="fr-FR"/>
        </w:rPr>
        <w:t>Rôle des SMHN dans les systèmes de prévision et d</w:t>
      </w:r>
      <w:r w:rsidR="001148C8">
        <w:rPr>
          <w:lang w:val="fr-FR"/>
        </w:rPr>
        <w:t>’</w:t>
      </w:r>
      <w:r w:rsidRPr="004A7EFC">
        <w:rPr>
          <w:lang w:val="fr-FR"/>
        </w:rPr>
        <w:t>alertes précoces relatifs aux perturbations ondulatoires longues causées par le forçage météorologique</w:t>
      </w:r>
    </w:p>
    <w:p w14:paraId="6BE3DC49" w14:textId="3F34C78E" w:rsidR="00121AAE" w:rsidRPr="004A7EFC" w:rsidRDefault="006C5F74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</w:pPr>
      <w:proofErr w:type="spellStart"/>
      <w:r w:rsidRPr="004A7EFC">
        <w:t>Déclaration</w:t>
      </w:r>
      <w:proofErr w:type="spellEnd"/>
      <w:r w:rsidRPr="004A7EFC">
        <w:t xml:space="preserve"> </w:t>
      </w:r>
      <w:proofErr w:type="spellStart"/>
      <w:r w:rsidRPr="004A7EFC">
        <w:t>d</w:t>
      </w:r>
      <w:r w:rsidR="001148C8">
        <w:t>’</w:t>
      </w:r>
      <w:r w:rsidRPr="004A7EFC">
        <w:t>i</w:t>
      </w:r>
      <w:r w:rsidR="00121AAE" w:rsidRPr="004A7EFC">
        <w:t>mpact</w:t>
      </w:r>
      <w:proofErr w:type="spellEnd"/>
      <w:r w:rsidR="00121AAE" w:rsidRPr="004A7EFC">
        <w:t xml:space="preserve"> </w:t>
      </w:r>
    </w:p>
    <w:p w14:paraId="1F86D468" w14:textId="374E75D7" w:rsidR="00121AAE" w:rsidRPr="004A7EFC" w:rsidRDefault="005B3AF8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</w:pPr>
      <w:r w:rsidRPr="004A7EFC">
        <w:t xml:space="preserve">Aperçu des </w:t>
      </w:r>
      <w:proofErr w:type="spellStart"/>
      <w:r w:rsidR="00121AAE" w:rsidRPr="004A7EFC">
        <w:t>proc</w:t>
      </w:r>
      <w:r w:rsidRPr="004A7EFC">
        <w:t>é</w:t>
      </w:r>
      <w:r w:rsidR="00121AAE" w:rsidRPr="004A7EFC">
        <w:t>dures</w:t>
      </w:r>
      <w:proofErr w:type="spellEnd"/>
      <w:r w:rsidRPr="004A7EFC">
        <w:t xml:space="preserve"> </w:t>
      </w:r>
      <w:proofErr w:type="spellStart"/>
      <w:r w:rsidRPr="004A7EFC">
        <w:t>opérationnelles</w:t>
      </w:r>
      <w:proofErr w:type="spellEnd"/>
    </w:p>
    <w:p w14:paraId="128F653D" w14:textId="73B103B0" w:rsidR="00121AAE" w:rsidRPr="004A7EFC" w:rsidRDefault="00C21E34" w:rsidP="00121AAE">
      <w:pPr>
        <w:pStyle w:val="WMOBodyText"/>
        <w:numPr>
          <w:ilvl w:val="1"/>
          <w:numId w:val="50"/>
        </w:numPr>
        <w:suppressAutoHyphens/>
        <w:autoSpaceDN w:val="0"/>
        <w:ind w:left="1701" w:hanging="567"/>
        <w:textAlignment w:val="baseline"/>
        <w:rPr>
          <w:lang w:val="fr-FR"/>
        </w:rPr>
      </w:pPr>
      <w:r w:rsidRPr="004A7EFC">
        <w:rPr>
          <w:lang w:val="fr-FR"/>
        </w:rPr>
        <w:t>Sensibilisation et éducation du public</w:t>
      </w:r>
    </w:p>
    <w:p w14:paraId="222B8544" w14:textId="157454EB" w:rsidR="00121AAE" w:rsidRPr="004A7EFC" w:rsidRDefault="00121AAE" w:rsidP="00121AAE">
      <w:pPr>
        <w:pStyle w:val="WMOBodyText"/>
        <w:numPr>
          <w:ilvl w:val="0"/>
          <w:numId w:val="50"/>
        </w:numPr>
        <w:ind w:left="1134" w:hanging="567"/>
        <w:rPr>
          <w:lang w:val="fr-FR"/>
        </w:rPr>
      </w:pPr>
      <w:r w:rsidRPr="004A7EFC">
        <w:rPr>
          <w:lang w:val="fr-FR"/>
        </w:rPr>
        <w:t xml:space="preserve">Contributions </w:t>
      </w:r>
      <w:r w:rsidR="0025630D" w:rsidRPr="004A7EFC">
        <w:rPr>
          <w:lang w:val="fr-FR"/>
        </w:rPr>
        <w:t xml:space="preserve">et rôle des </w:t>
      </w:r>
      <w:r w:rsidR="00524AEC" w:rsidRPr="004A7EFC">
        <w:rPr>
          <w:lang w:val="fr-FR"/>
        </w:rPr>
        <w:t>centres d</w:t>
      </w:r>
      <w:r w:rsidR="001148C8">
        <w:rPr>
          <w:lang w:val="fr-FR"/>
        </w:rPr>
        <w:t>’</w:t>
      </w:r>
      <w:r w:rsidR="00524AEC" w:rsidRPr="004A7EFC">
        <w:rPr>
          <w:lang w:val="fr-FR"/>
        </w:rPr>
        <w:t xml:space="preserve">alerte aux tsunamis en matière de prévision des perturbations ondulatoires longues </w:t>
      </w:r>
      <w:r w:rsidR="00F65B15" w:rsidRPr="004A7EFC">
        <w:rPr>
          <w:lang w:val="fr-FR"/>
        </w:rPr>
        <w:t>causées par le forçage météorologique</w:t>
      </w:r>
      <w:r w:rsidRPr="004A7EFC">
        <w:rPr>
          <w:lang w:val="fr-FR"/>
        </w:rPr>
        <w:t>.</w:t>
      </w:r>
    </w:p>
    <w:p w14:paraId="7AA44CB4" w14:textId="77777777" w:rsidR="00121AAE" w:rsidRDefault="00121AAE" w:rsidP="00121AAE">
      <w:pPr>
        <w:pStyle w:val="WMOBodyText"/>
        <w:ind w:left="720"/>
        <w:jc w:val="center"/>
      </w:pPr>
      <w:r w:rsidRPr="004A7EFC">
        <w:t>__________</w:t>
      </w:r>
    </w:p>
    <w:p w14:paraId="0C1F8EC7" w14:textId="77777777" w:rsidR="00121AAE" w:rsidRDefault="00121AAE" w:rsidP="002C4139">
      <w:pPr>
        <w:pStyle w:val="WMOBodyText"/>
      </w:pPr>
    </w:p>
    <w:sectPr w:rsidR="00121AAE" w:rsidSect="0020095E">
      <w:headerReference w:type="default" r:id="rId3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24A5" w14:textId="77777777" w:rsidR="00AA3DB8" w:rsidRDefault="00AA3DB8">
      <w:r>
        <w:separator/>
      </w:r>
    </w:p>
    <w:p w14:paraId="5B5C872F" w14:textId="77777777" w:rsidR="00AA3DB8" w:rsidRDefault="00AA3DB8"/>
    <w:p w14:paraId="07BB0D97" w14:textId="77777777" w:rsidR="00AA3DB8" w:rsidRDefault="00AA3DB8"/>
  </w:endnote>
  <w:endnote w:type="continuationSeparator" w:id="0">
    <w:p w14:paraId="113C7A4E" w14:textId="77777777" w:rsidR="00AA3DB8" w:rsidRDefault="00AA3DB8">
      <w:r>
        <w:continuationSeparator/>
      </w:r>
    </w:p>
    <w:p w14:paraId="582CCB77" w14:textId="77777777" w:rsidR="00AA3DB8" w:rsidRDefault="00AA3DB8"/>
    <w:p w14:paraId="498678DC" w14:textId="77777777" w:rsidR="00AA3DB8" w:rsidRDefault="00AA3DB8"/>
  </w:endnote>
  <w:endnote w:type="continuationNotice" w:id="1">
    <w:p w14:paraId="50ADD343" w14:textId="77777777" w:rsidR="00AA3DB8" w:rsidRDefault="00AA3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EDED" w14:textId="77777777" w:rsidR="00AA3DB8" w:rsidRDefault="00AA3DB8">
      <w:r>
        <w:separator/>
      </w:r>
    </w:p>
  </w:footnote>
  <w:footnote w:type="continuationSeparator" w:id="0">
    <w:p w14:paraId="2BD1D8B1" w14:textId="77777777" w:rsidR="00AA3DB8" w:rsidRDefault="00AA3DB8">
      <w:r>
        <w:continuationSeparator/>
      </w:r>
    </w:p>
    <w:p w14:paraId="2C72CA48" w14:textId="77777777" w:rsidR="00AA3DB8" w:rsidRDefault="00AA3DB8"/>
    <w:p w14:paraId="4AC6E6AD" w14:textId="77777777" w:rsidR="00AA3DB8" w:rsidRDefault="00AA3DB8"/>
  </w:footnote>
  <w:footnote w:type="continuationNotice" w:id="1">
    <w:p w14:paraId="60CD9ECA" w14:textId="77777777" w:rsidR="00AA3DB8" w:rsidRDefault="00AA3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212C" w14:textId="50ABBE0D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CB6C40">
      <w:rPr>
        <w:sz w:val="18"/>
        <w:szCs w:val="18"/>
      </w:rPr>
      <w:t>4.7(2)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7F2137"/>
    <w:multiLevelType w:val="hybridMultilevel"/>
    <w:tmpl w:val="DF6A761A"/>
    <w:lvl w:ilvl="0" w:tplc="FFFFFFFF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0093D3"/>
    <w:multiLevelType w:val="hybridMultilevel"/>
    <w:tmpl w:val="2ACAF8D2"/>
    <w:lvl w:ilvl="0" w:tplc="4C0CE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E9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5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A3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8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CB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D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8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8D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2E39B2"/>
    <w:multiLevelType w:val="hybridMultilevel"/>
    <w:tmpl w:val="8DF2EF1E"/>
    <w:lvl w:ilvl="0" w:tplc="1C32F8F8">
      <w:start w:val="1"/>
      <w:numFmt w:val="decimal"/>
      <w:lvlText w:val="%1)"/>
      <w:lvlJc w:val="left"/>
      <w:pPr>
        <w:ind w:left="1060" w:hanging="700"/>
      </w:pPr>
      <w:rPr>
        <w:rFonts w:hint="default"/>
        <w:lang w:val="fr-FR"/>
      </w:rPr>
    </w:lvl>
    <w:lvl w:ilvl="1" w:tplc="08160019">
      <w:start w:val="1"/>
      <w:numFmt w:val="lowerLetter"/>
      <w:lvlText w:val="%2."/>
      <w:lvlJc w:val="left"/>
      <w:pPr>
        <w:ind w:left="1353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5318BA"/>
    <w:multiLevelType w:val="hybridMultilevel"/>
    <w:tmpl w:val="DBA49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2"/>
  </w:num>
  <w:num w:numId="2" w16cid:durableId="1654218209">
    <w:abstractNumId w:val="49"/>
  </w:num>
  <w:num w:numId="3" w16cid:durableId="336008981">
    <w:abstractNumId w:val="30"/>
  </w:num>
  <w:num w:numId="4" w16cid:durableId="1041973828">
    <w:abstractNumId w:val="40"/>
  </w:num>
  <w:num w:numId="5" w16cid:durableId="1725565958">
    <w:abstractNumId w:val="20"/>
  </w:num>
  <w:num w:numId="6" w16cid:durableId="576861133">
    <w:abstractNumId w:val="25"/>
  </w:num>
  <w:num w:numId="7" w16cid:durableId="1220365271">
    <w:abstractNumId w:val="21"/>
  </w:num>
  <w:num w:numId="8" w16cid:durableId="1637880593">
    <w:abstractNumId w:val="33"/>
  </w:num>
  <w:num w:numId="9" w16cid:durableId="703211292">
    <w:abstractNumId w:val="24"/>
  </w:num>
  <w:num w:numId="10" w16cid:durableId="1991401446">
    <w:abstractNumId w:val="23"/>
  </w:num>
  <w:num w:numId="11" w16cid:durableId="508719296">
    <w:abstractNumId w:val="39"/>
  </w:num>
  <w:num w:numId="12" w16cid:durableId="2121951811">
    <w:abstractNumId w:val="12"/>
  </w:num>
  <w:num w:numId="13" w16cid:durableId="1249272479">
    <w:abstractNumId w:val="28"/>
  </w:num>
  <w:num w:numId="14" w16cid:durableId="913784059">
    <w:abstractNumId w:val="44"/>
  </w:num>
  <w:num w:numId="15" w16cid:durableId="500586916">
    <w:abstractNumId w:val="22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6"/>
  </w:num>
  <w:num w:numId="27" w16cid:durableId="1720012237">
    <w:abstractNumId w:val="34"/>
  </w:num>
  <w:num w:numId="28" w16cid:durableId="798841856">
    <w:abstractNumId w:val="26"/>
  </w:num>
  <w:num w:numId="29" w16cid:durableId="1154221663">
    <w:abstractNumId w:val="36"/>
  </w:num>
  <w:num w:numId="30" w16cid:durableId="490219930">
    <w:abstractNumId w:val="37"/>
  </w:num>
  <w:num w:numId="31" w16cid:durableId="1010566439">
    <w:abstractNumId w:val="15"/>
  </w:num>
  <w:num w:numId="32" w16cid:durableId="882134030">
    <w:abstractNumId w:val="43"/>
  </w:num>
  <w:num w:numId="33" w16cid:durableId="789784922">
    <w:abstractNumId w:val="41"/>
  </w:num>
  <w:num w:numId="34" w16cid:durableId="1723089989">
    <w:abstractNumId w:val="27"/>
  </w:num>
  <w:num w:numId="35" w16cid:durableId="1694990133">
    <w:abstractNumId w:val="29"/>
  </w:num>
  <w:num w:numId="36" w16cid:durableId="1627277369">
    <w:abstractNumId w:val="48"/>
  </w:num>
  <w:num w:numId="37" w16cid:durableId="407730713">
    <w:abstractNumId w:val="38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7"/>
  </w:num>
  <w:num w:numId="41" w16cid:durableId="620191929">
    <w:abstractNumId w:val="10"/>
  </w:num>
  <w:num w:numId="42" w16cid:durableId="578902319">
    <w:abstractNumId w:val="45"/>
  </w:num>
  <w:num w:numId="43" w16cid:durableId="1976985284">
    <w:abstractNumId w:val="19"/>
  </w:num>
  <w:num w:numId="44" w16cid:durableId="449469368">
    <w:abstractNumId w:val="31"/>
  </w:num>
  <w:num w:numId="45" w16cid:durableId="71970146">
    <w:abstractNumId w:val="42"/>
  </w:num>
  <w:num w:numId="46" w16cid:durableId="1579167937">
    <w:abstractNumId w:val="11"/>
  </w:num>
  <w:num w:numId="47" w16cid:durableId="313679324">
    <w:abstractNumId w:val="47"/>
  </w:num>
  <w:num w:numId="48" w16cid:durableId="748888260">
    <w:abstractNumId w:val="35"/>
  </w:num>
  <w:num w:numId="49" w16cid:durableId="874512414">
    <w:abstractNumId w:val="16"/>
  </w:num>
  <w:num w:numId="50" w16cid:durableId="17981400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A"/>
    <w:rsid w:val="00005301"/>
    <w:rsid w:val="000133EE"/>
    <w:rsid w:val="000206A8"/>
    <w:rsid w:val="000244F7"/>
    <w:rsid w:val="00025AEB"/>
    <w:rsid w:val="00027205"/>
    <w:rsid w:val="0003137A"/>
    <w:rsid w:val="0003633B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97269"/>
    <w:rsid w:val="000A4F1C"/>
    <w:rsid w:val="000A69BF"/>
    <w:rsid w:val="000C225A"/>
    <w:rsid w:val="000C4852"/>
    <w:rsid w:val="000C6781"/>
    <w:rsid w:val="000C6943"/>
    <w:rsid w:val="000D0753"/>
    <w:rsid w:val="000D0BAA"/>
    <w:rsid w:val="000D4EB9"/>
    <w:rsid w:val="000F5E49"/>
    <w:rsid w:val="000F7A87"/>
    <w:rsid w:val="00100834"/>
    <w:rsid w:val="001024B5"/>
    <w:rsid w:val="00102EAE"/>
    <w:rsid w:val="001044B7"/>
    <w:rsid w:val="001047DC"/>
    <w:rsid w:val="00105D2E"/>
    <w:rsid w:val="00111BFD"/>
    <w:rsid w:val="001148C8"/>
    <w:rsid w:val="0011498B"/>
    <w:rsid w:val="00120147"/>
    <w:rsid w:val="00121AAE"/>
    <w:rsid w:val="00123140"/>
    <w:rsid w:val="00123CD9"/>
    <w:rsid w:val="00123D94"/>
    <w:rsid w:val="00127090"/>
    <w:rsid w:val="00130BBC"/>
    <w:rsid w:val="00133D13"/>
    <w:rsid w:val="0013656A"/>
    <w:rsid w:val="0014048E"/>
    <w:rsid w:val="00142AD0"/>
    <w:rsid w:val="00150DBD"/>
    <w:rsid w:val="001532E8"/>
    <w:rsid w:val="00153CB0"/>
    <w:rsid w:val="00156F9B"/>
    <w:rsid w:val="00163BA3"/>
    <w:rsid w:val="00166B31"/>
    <w:rsid w:val="001676F9"/>
    <w:rsid w:val="00167D54"/>
    <w:rsid w:val="00176AB5"/>
    <w:rsid w:val="00180771"/>
    <w:rsid w:val="001832B9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3F45"/>
    <w:rsid w:val="001E46D8"/>
    <w:rsid w:val="001E740C"/>
    <w:rsid w:val="001E7DD0"/>
    <w:rsid w:val="001F1BDA"/>
    <w:rsid w:val="0020095E"/>
    <w:rsid w:val="002056AB"/>
    <w:rsid w:val="002066F1"/>
    <w:rsid w:val="00210BFE"/>
    <w:rsid w:val="00210D30"/>
    <w:rsid w:val="002204FD"/>
    <w:rsid w:val="00221020"/>
    <w:rsid w:val="00227029"/>
    <w:rsid w:val="002308B5"/>
    <w:rsid w:val="00233C0B"/>
    <w:rsid w:val="00234A34"/>
    <w:rsid w:val="00234B7A"/>
    <w:rsid w:val="00250A6B"/>
    <w:rsid w:val="0025255D"/>
    <w:rsid w:val="00255EE3"/>
    <w:rsid w:val="0025630D"/>
    <w:rsid w:val="002569CE"/>
    <w:rsid w:val="00256B3D"/>
    <w:rsid w:val="00263556"/>
    <w:rsid w:val="0026743C"/>
    <w:rsid w:val="00270480"/>
    <w:rsid w:val="00270C2D"/>
    <w:rsid w:val="00270C7E"/>
    <w:rsid w:val="002779AF"/>
    <w:rsid w:val="00280219"/>
    <w:rsid w:val="002823D8"/>
    <w:rsid w:val="00282644"/>
    <w:rsid w:val="0028531A"/>
    <w:rsid w:val="00285446"/>
    <w:rsid w:val="00290082"/>
    <w:rsid w:val="00291CBB"/>
    <w:rsid w:val="00295593"/>
    <w:rsid w:val="002A354F"/>
    <w:rsid w:val="002A386C"/>
    <w:rsid w:val="002B01F7"/>
    <w:rsid w:val="002B09DF"/>
    <w:rsid w:val="002B540D"/>
    <w:rsid w:val="002B7A7E"/>
    <w:rsid w:val="002C30BC"/>
    <w:rsid w:val="002C4139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2848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0C0"/>
    <w:rsid w:val="00333307"/>
    <w:rsid w:val="00334987"/>
    <w:rsid w:val="00340C69"/>
    <w:rsid w:val="00342999"/>
    <w:rsid w:val="00342E34"/>
    <w:rsid w:val="00343BCC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47C2"/>
    <w:rsid w:val="003A7016"/>
    <w:rsid w:val="003B0C08"/>
    <w:rsid w:val="003B5F5B"/>
    <w:rsid w:val="003C144E"/>
    <w:rsid w:val="003C1531"/>
    <w:rsid w:val="003C17A5"/>
    <w:rsid w:val="003C1843"/>
    <w:rsid w:val="003C68E1"/>
    <w:rsid w:val="003D1552"/>
    <w:rsid w:val="003D2BE4"/>
    <w:rsid w:val="003E381F"/>
    <w:rsid w:val="003E4046"/>
    <w:rsid w:val="003F003A"/>
    <w:rsid w:val="003F125B"/>
    <w:rsid w:val="003F7B3F"/>
    <w:rsid w:val="004058AD"/>
    <w:rsid w:val="0041078D"/>
    <w:rsid w:val="00416F97"/>
    <w:rsid w:val="0042127E"/>
    <w:rsid w:val="00424D06"/>
    <w:rsid w:val="00425173"/>
    <w:rsid w:val="004264D0"/>
    <w:rsid w:val="0043039B"/>
    <w:rsid w:val="0043120D"/>
    <w:rsid w:val="00436197"/>
    <w:rsid w:val="004423FE"/>
    <w:rsid w:val="00442C11"/>
    <w:rsid w:val="00445C35"/>
    <w:rsid w:val="00454B41"/>
    <w:rsid w:val="0045663A"/>
    <w:rsid w:val="00462C67"/>
    <w:rsid w:val="00463166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A7EFC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E76F1"/>
    <w:rsid w:val="004F6575"/>
    <w:rsid w:val="004F6B46"/>
    <w:rsid w:val="00501B10"/>
    <w:rsid w:val="0050361F"/>
    <w:rsid w:val="0050425E"/>
    <w:rsid w:val="00506B4B"/>
    <w:rsid w:val="00511999"/>
    <w:rsid w:val="005145D6"/>
    <w:rsid w:val="00521EA5"/>
    <w:rsid w:val="00522CEB"/>
    <w:rsid w:val="00524AEC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27A4"/>
    <w:rsid w:val="005B3AF8"/>
    <w:rsid w:val="005B5F3C"/>
    <w:rsid w:val="005C31DA"/>
    <w:rsid w:val="005C41F2"/>
    <w:rsid w:val="005D03D9"/>
    <w:rsid w:val="005D11A1"/>
    <w:rsid w:val="005D17A6"/>
    <w:rsid w:val="005D1EE8"/>
    <w:rsid w:val="005D56AE"/>
    <w:rsid w:val="005D666D"/>
    <w:rsid w:val="005E000C"/>
    <w:rsid w:val="005E3A59"/>
    <w:rsid w:val="005F7A42"/>
    <w:rsid w:val="00604802"/>
    <w:rsid w:val="0061020A"/>
    <w:rsid w:val="00615AB0"/>
    <w:rsid w:val="00616247"/>
    <w:rsid w:val="0061778C"/>
    <w:rsid w:val="00630321"/>
    <w:rsid w:val="00636B90"/>
    <w:rsid w:val="0064738B"/>
    <w:rsid w:val="006508EA"/>
    <w:rsid w:val="00657CB7"/>
    <w:rsid w:val="00667E86"/>
    <w:rsid w:val="006817BE"/>
    <w:rsid w:val="0068392D"/>
    <w:rsid w:val="00697DB5"/>
    <w:rsid w:val="006A1B33"/>
    <w:rsid w:val="006A492A"/>
    <w:rsid w:val="006A7142"/>
    <w:rsid w:val="006B31F2"/>
    <w:rsid w:val="006B51C2"/>
    <w:rsid w:val="006B5C72"/>
    <w:rsid w:val="006B7C5A"/>
    <w:rsid w:val="006C289D"/>
    <w:rsid w:val="006C5F74"/>
    <w:rsid w:val="006D0310"/>
    <w:rsid w:val="006D2009"/>
    <w:rsid w:val="006D5576"/>
    <w:rsid w:val="006D7AB8"/>
    <w:rsid w:val="006E766D"/>
    <w:rsid w:val="006F356C"/>
    <w:rsid w:val="006F4B29"/>
    <w:rsid w:val="006F6CE9"/>
    <w:rsid w:val="0070517C"/>
    <w:rsid w:val="00705C9F"/>
    <w:rsid w:val="00716951"/>
    <w:rsid w:val="00720F6B"/>
    <w:rsid w:val="00726EEA"/>
    <w:rsid w:val="00730ADA"/>
    <w:rsid w:val="00732C37"/>
    <w:rsid w:val="00733519"/>
    <w:rsid w:val="00735D9E"/>
    <w:rsid w:val="00745A09"/>
    <w:rsid w:val="00751EAF"/>
    <w:rsid w:val="00754CF7"/>
    <w:rsid w:val="00757166"/>
    <w:rsid w:val="00757B0D"/>
    <w:rsid w:val="00761320"/>
    <w:rsid w:val="007651B1"/>
    <w:rsid w:val="00766285"/>
    <w:rsid w:val="00767CE1"/>
    <w:rsid w:val="00770027"/>
    <w:rsid w:val="00771A68"/>
    <w:rsid w:val="007744D2"/>
    <w:rsid w:val="007749BB"/>
    <w:rsid w:val="00786136"/>
    <w:rsid w:val="007B05CF"/>
    <w:rsid w:val="007B0DBB"/>
    <w:rsid w:val="007B16A8"/>
    <w:rsid w:val="007C212A"/>
    <w:rsid w:val="007D2913"/>
    <w:rsid w:val="007D5B3C"/>
    <w:rsid w:val="007E20EF"/>
    <w:rsid w:val="007E7D21"/>
    <w:rsid w:val="007E7DBD"/>
    <w:rsid w:val="007F11AB"/>
    <w:rsid w:val="007F13EE"/>
    <w:rsid w:val="007F482F"/>
    <w:rsid w:val="007F4BD5"/>
    <w:rsid w:val="007F7C94"/>
    <w:rsid w:val="008027E2"/>
    <w:rsid w:val="0080398D"/>
    <w:rsid w:val="00805174"/>
    <w:rsid w:val="00806385"/>
    <w:rsid w:val="00807CC5"/>
    <w:rsid w:val="00807ED7"/>
    <w:rsid w:val="008142C6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6692F"/>
    <w:rsid w:val="0088163A"/>
    <w:rsid w:val="00893376"/>
    <w:rsid w:val="00894403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6887"/>
    <w:rsid w:val="00902EA9"/>
    <w:rsid w:val="0090427F"/>
    <w:rsid w:val="00910609"/>
    <w:rsid w:val="00920506"/>
    <w:rsid w:val="0092088B"/>
    <w:rsid w:val="00921256"/>
    <w:rsid w:val="00931DEB"/>
    <w:rsid w:val="0093261F"/>
    <w:rsid w:val="00933957"/>
    <w:rsid w:val="009356FA"/>
    <w:rsid w:val="00937B88"/>
    <w:rsid w:val="009427E3"/>
    <w:rsid w:val="0094603B"/>
    <w:rsid w:val="009504A1"/>
    <w:rsid w:val="00950605"/>
    <w:rsid w:val="00952233"/>
    <w:rsid w:val="00954D66"/>
    <w:rsid w:val="00963F8F"/>
    <w:rsid w:val="00972492"/>
    <w:rsid w:val="00972509"/>
    <w:rsid w:val="00973C62"/>
    <w:rsid w:val="00975D76"/>
    <w:rsid w:val="0097600C"/>
    <w:rsid w:val="00982E51"/>
    <w:rsid w:val="00985291"/>
    <w:rsid w:val="009874B9"/>
    <w:rsid w:val="00992ED2"/>
    <w:rsid w:val="00993581"/>
    <w:rsid w:val="00996F0B"/>
    <w:rsid w:val="009A288C"/>
    <w:rsid w:val="009A32AB"/>
    <w:rsid w:val="009A64C1"/>
    <w:rsid w:val="009B3FE3"/>
    <w:rsid w:val="009B6697"/>
    <w:rsid w:val="009C2B43"/>
    <w:rsid w:val="009C2EA4"/>
    <w:rsid w:val="009C4C04"/>
    <w:rsid w:val="009C55D4"/>
    <w:rsid w:val="009D5213"/>
    <w:rsid w:val="009E1C95"/>
    <w:rsid w:val="009F196A"/>
    <w:rsid w:val="009F2B0D"/>
    <w:rsid w:val="009F3D4B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915"/>
    <w:rsid w:val="00A268CE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08F7"/>
    <w:rsid w:val="00A530E4"/>
    <w:rsid w:val="00A604CD"/>
    <w:rsid w:val="00A60FE6"/>
    <w:rsid w:val="00A617DA"/>
    <w:rsid w:val="00A622F5"/>
    <w:rsid w:val="00A654BE"/>
    <w:rsid w:val="00A6635C"/>
    <w:rsid w:val="00A66DD6"/>
    <w:rsid w:val="00A75018"/>
    <w:rsid w:val="00A771FD"/>
    <w:rsid w:val="00A80767"/>
    <w:rsid w:val="00A818E7"/>
    <w:rsid w:val="00A81C90"/>
    <w:rsid w:val="00A86DFF"/>
    <w:rsid w:val="00A874EF"/>
    <w:rsid w:val="00A90C48"/>
    <w:rsid w:val="00A95415"/>
    <w:rsid w:val="00AA3C89"/>
    <w:rsid w:val="00AA3DB8"/>
    <w:rsid w:val="00AB32BD"/>
    <w:rsid w:val="00AB4723"/>
    <w:rsid w:val="00AC4CDB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33821"/>
    <w:rsid w:val="00B379C1"/>
    <w:rsid w:val="00B41980"/>
    <w:rsid w:val="00B424D9"/>
    <w:rsid w:val="00B447C0"/>
    <w:rsid w:val="00B5058E"/>
    <w:rsid w:val="00B51182"/>
    <w:rsid w:val="00B52510"/>
    <w:rsid w:val="00B53E53"/>
    <w:rsid w:val="00B548A2"/>
    <w:rsid w:val="00B56934"/>
    <w:rsid w:val="00B62F03"/>
    <w:rsid w:val="00B67C81"/>
    <w:rsid w:val="00B70427"/>
    <w:rsid w:val="00B72444"/>
    <w:rsid w:val="00B93B62"/>
    <w:rsid w:val="00B953D1"/>
    <w:rsid w:val="00B9559B"/>
    <w:rsid w:val="00B96D93"/>
    <w:rsid w:val="00B97C33"/>
    <w:rsid w:val="00BA30D0"/>
    <w:rsid w:val="00BA52F8"/>
    <w:rsid w:val="00BB0D32"/>
    <w:rsid w:val="00BC76B5"/>
    <w:rsid w:val="00BD5420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1E34"/>
    <w:rsid w:val="00C23509"/>
    <w:rsid w:val="00C2459D"/>
    <w:rsid w:val="00C2588F"/>
    <w:rsid w:val="00C2755A"/>
    <w:rsid w:val="00C316F1"/>
    <w:rsid w:val="00C33648"/>
    <w:rsid w:val="00C42C95"/>
    <w:rsid w:val="00C4470F"/>
    <w:rsid w:val="00C50727"/>
    <w:rsid w:val="00C55E5B"/>
    <w:rsid w:val="00C62739"/>
    <w:rsid w:val="00C720A4"/>
    <w:rsid w:val="00C74F59"/>
    <w:rsid w:val="00C7611C"/>
    <w:rsid w:val="00C90FC0"/>
    <w:rsid w:val="00C94097"/>
    <w:rsid w:val="00C9447D"/>
    <w:rsid w:val="00CA4269"/>
    <w:rsid w:val="00CA48CA"/>
    <w:rsid w:val="00CA7330"/>
    <w:rsid w:val="00CB1C84"/>
    <w:rsid w:val="00CB5363"/>
    <w:rsid w:val="00CB5443"/>
    <w:rsid w:val="00CB636B"/>
    <w:rsid w:val="00CB64F0"/>
    <w:rsid w:val="00CB6C40"/>
    <w:rsid w:val="00CC2909"/>
    <w:rsid w:val="00CD0549"/>
    <w:rsid w:val="00CE6B3C"/>
    <w:rsid w:val="00CF7EC6"/>
    <w:rsid w:val="00D05E6F"/>
    <w:rsid w:val="00D07524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6CC3"/>
    <w:rsid w:val="00D67E1E"/>
    <w:rsid w:val="00D7097B"/>
    <w:rsid w:val="00D7197D"/>
    <w:rsid w:val="00D72BC4"/>
    <w:rsid w:val="00D80D84"/>
    <w:rsid w:val="00D815FC"/>
    <w:rsid w:val="00D8517B"/>
    <w:rsid w:val="00D91DFA"/>
    <w:rsid w:val="00DA159A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3E7C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04374"/>
    <w:rsid w:val="00E07445"/>
    <w:rsid w:val="00E1464C"/>
    <w:rsid w:val="00E14ADB"/>
    <w:rsid w:val="00E161BF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B38CF"/>
    <w:rsid w:val="00ED22CB"/>
    <w:rsid w:val="00ED4BB1"/>
    <w:rsid w:val="00ED67AF"/>
    <w:rsid w:val="00EE11F0"/>
    <w:rsid w:val="00EE128C"/>
    <w:rsid w:val="00EE4C48"/>
    <w:rsid w:val="00EE5D2E"/>
    <w:rsid w:val="00EE6A2F"/>
    <w:rsid w:val="00EE7E6F"/>
    <w:rsid w:val="00EF66D9"/>
    <w:rsid w:val="00EF68E3"/>
    <w:rsid w:val="00EF6BA5"/>
    <w:rsid w:val="00EF780D"/>
    <w:rsid w:val="00EF7A98"/>
    <w:rsid w:val="00F0050C"/>
    <w:rsid w:val="00F0267E"/>
    <w:rsid w:val="00F03A85"/>
    <w:rsid w:val="00F071B2"/>
    <w:rsid w:val="00F11B47"/>
    <w:rsid w:val="00F1397B"/>
    <w:rsid w:val="00F21B41"/>
    <w:rsid w:val="00F2412D"/>
    <w:rsid w:val="00F25D8D"/>
    <w:rsid w:val="00F3069C"/>
    <w:rsid w:val="00F3603E"/>
    <w:rsid w:val="00F44CCB"/>
    <w:rsid w:val="00F474C9"/>
    <w:rsid w:val="00F50521"/>
    <w:rsid w:val="00F5126B"/>
    <w:rsid w:val="00F54EA3"/>
    <w:rsid w:val="00F55EF0"/>
    <w:rsid w:val="00F5620A"/>
    <w:rsid w:val="00F563A1"/>
    <w:rsid w:val="00F57021"/>
    <w:rsid w:val="00F61675"/>
    <w:rsid w:val="00F63494"/>
    <w:rsid w:val="00F65B1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1C7E"/>
    <w:rsid w:val="00F95439"/>
    <w:rsid w:val="00FB0872"/>
    <w:rsid w:val="00FB1018"/>
    <w:rsid w:val="00FB54CC"/>
    <w:rsid w:val="00FD1A37"/>
    <w:rsid w:val="00FD4E5B"/>
    <w:rsid w:val="00FE229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F04F185"/>
  <w15:docId w15:val="{6B246406-48FD-4F2A-BAF5-341169E9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53948/14" TargetMode="External"/><Relationship Id="rId18" Type="http://schemas.openxmlformats.org/officeDocument/2006/relationships/hyperlink" Target="https://library.wmo.int/idviewer/68579/21" TargetMode="External"/><Relationship Id="rId26" Type="http://schemas.openxmlformats.org/officeDocument/2006/relationships/hyperlink" Target="https://library.wmo.int/idviewer/56877/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records/item/28432-guide-to-storm-surge-foreca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idviewer/68194/24" TargetMode="External"/><Relationship Id="rId25" Type="http://schemas.openxmlformats.org/officeDocument/2006/relationships/hyperlink" Target="https://library.wmo.int/records/item/56877-compendium-of-wmo-competency-framewor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55382/14" TargetMode="External"/><Relationship Id="rId20" Type="http://schemas.openxmlformats.org/officeDocument/2006/relationships/hyperlink" Target="https://library.wmo.int/records/item/31871-guide-to-wave-analysis-and-forecasting" TargetMode="External"/><Relationship Id="rId29" Type="http://schemas.openxmlformats.org/officeDocument/2006/relationships/hyperlink" Target="https://conferences.unite.un.org/unterm/display/record/unesco/na/b19a0101-4a5a-43c3-92b7-46715836fa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records/item/58169-guidelines-on-implementation-of-a-coastal-inundation-forecasting-early-warning-system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56207/266" TargetMode="External"/><Relationship Id="rId23" Type="http://schemas.openxmlformats.org/officeDocument/2006/relationships/hyperlink" Target="https://library.wmo.int/records/item/35920-guide-to-marine-meteorological-services?offset=2" TargetMode="External"/><Relationship Id="rId28" Type="http://schemas.openxmlformats.org/officeDocument/2006/relationships/hyperlink" Target="https://unesdoc.unesco.org/ark:/48223/pf0000160831?posInSet=1&amp;queryId=f40ca451-0acb-4e9b-bcaa-46c2cd2f271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67177/49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48992-basic-documents-no-1-convention-general-regulations-staff-regulations-financial-regulations-and-agreements?offset=2" TargetMode="External"/><Relationship Id="rId22" Type="http://schemas.openxmlformats.org/officeDocument/2006/relationships/hyperlink" Target="https://library.wmo.int/records/item/41585-manual-on-marine-meteorological-services-volume-i-global-aspects?offset=5" TargetMode="External"/><Relationship Id="rId27" Type="http://schemas.openxmlformats.org/officeDocument/2006/relationships/hyperlink" Target="https://library.wmo.int/records/item/35809-international-meteorological-vocabulary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3CE9-42EB-4A63-AD0F-1301CAB64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2086f-1306-468c-afe6-705dad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186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10274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120</cp:revision>
  <cp:lastPrinted>2013-03-12T09:27:00Z</cp:lastPrinted>
  <dcterms:created xsi:type="dcterms:W3CDTF">2024-01-12T15:33:00Z</dcterms:created>
  <dcterms:modified xsi:type="dcterms:W3CDTF">2024-01-29T09:18:00Z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